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hint="eastAsia"/>
          <w:b/>
          <w:bCs/>
          <w:color w:val="333333"/>
          <w:sz w:val="28"/>
          <w:szCs w:val="28"/>
          <w:shd w:val="clear" w:color="auto" w:fill="FFFFFF"/>
        </w:rPr>
      </w:pPr>
      <w:r>
        <w:rPr>
          <w:sz w:val="24"/>
          <w:szCs w:val="24"/>
        </w:rPr>
        <w:t>附件1：</w:t>
      </w:r>
      <w:r>
        <w:rPr>
          <w:rFonts w:hint="eastAsia"/>
          <w:sz w:val="24"/>
          <w:szCs w:val="24"/>
        </w:rPr>
        <w:t>采购需求</w:t>
      </w:r>
    </w:p>
    <w:p>
      <w:pPr>
        <w:pStyle w:val="5"/>
        <w:spacing w:line="360" w:lineRule="auto"/>
        <w:ind w:firstLine="562" w:firstLineChars="200"/>
        <w:jc w:val="center"/>
        <w:rPr>
          <w:sz w:val="28"/>
          <w:szCs w:val="28"/>
        </w:rPr>
      </w:pPr>
      <w:r>
        <w:rPr>
          <w:rFonts w:hint="eastAsia"/>
          <w:b/>
          <w:bCs/>
          <w:color w:val="333333"/>
          <w:sz w:val="28"/>
          <w:szCs w:val="28"/>
          <w:shd w:val="clear" w:color="auto" w:fill="FFFFFF"/>
        </w:rPr>
        <w:t>采购需求</w:t>
      </w:r>
    </w:p>
    <w:p>
      <w:pPr>
        <w:pStyle w:val="5"/>
        <w:spacing w:line="360" w:lineRule="auto"/>
        <w:outlineLvl w:val="1"/>
        <w:rPr>
          <w:b/>
          <w:bCs/>
        </w:rPr>
      </w:pPr>
      <w:r>
        <w:rPr>
          <w:rFonts w:hint="eastAsia"/>
          <w:b/>
          <w:bCs/>
        </w:rPr>
        <w:t>一、项目概况</w:t>
      </w:r>
    </w:p>
    <w:p>
      <w:pPr>
        <w:pStyle w:val="5"/>
        <w:spacing w:line="360" w:lineRule="auto"/>
        <w:ind w:firstLine="480" w:firstLineChars="200"/>
        <w:jc w:val="both"/>
      </w:pPr>
      <w:r>
        <w:rPr>
          <w:rFonts w:hint="eastAsia"/>
        </w:rPr>
        <w:t>该项目是依托信息化实现辖区内基层医疗卫生机构、医共体牵头医院高血压患者信息共享、互联互通，形成高血压的防、治、管、教一体化管理模式。通过糖尿病、高血压一体化管理，对城乡居民的糖尿病、高血压及其相关危险因素实施干预措施，减少主要健康危险因素，有效预防和控制糖尿病、高血压发展水平。</w:t>
      </w:r>
    </w:p>
    <w:p>
      <w:pPr>
        <w:pStyle w:val="5"/>
        <w:spacing w:line="360" w:lineRule="auto"/>
        <w:ind w:firstLine="480" w:firstLineChars="200"/>
        <w:jc w:val="both"/>
      </w:pPr>
      <w:r>
        <w:rPr>
          <w:rFonts w:hint="eastAsia"/>
        </w:rPr>
        <w:t>建设主要内容：基层公卫一体化管理升级或新开发服务、分级诊疗一体化升级改造或新开发服务、区域一体化慢病</w:t>
      </w:r>
      <w:bookmarkStart w:id="0" w:name="_GoBack"/>
      <w:bookmarkEnd w:id="0"/>
      <w:r>
        <w:rPr>
          <w:rFonts w:hint="eastAsia"/>
        </w:rPr>
        <w:t>管理、区域慢病协同管理、医共体基层医疗公卫管理系统迁移合并、系统建设硬件支撑及系统安全运维服务。</w:t>
      </w:r>
    </w:p>
    <w:p>
      <w:pPr>
        <w:pStyle w:val="5"/>
        <w:spacing w:line="360" w:lineRule="auto"/>
        <w:outlineLvl w:val="1"/>
        <w:rPr>
          <w:b/>
          <w:bCs/>
        </w:rPr>
      </w:pPr>
      <w:r>
        <w:rPr>
          <w:rFonts w:hint="eastAsia"/>
          <w:b/>
          <w:bCs/>
        </w:rPr>
        <w:t>二、服务需求</w:t>
      </w:r>
    </w:p>
    <w:p>
      <w:pPr>
        <w:pStyle w:val="5"/>
        <w:spacing w:line="360" w:lineRule="auto"/>
        <w:ind w:firstLine="480" w:firstLineChars="200"/>
      </w:pPr>
      <w:r>
        <w:rPr>
          <w:rFonts w:hint="eastAsia"/>
        </w:rPr>
        <w:t>（一）监理服务要求</w:t>
      </w:r>
    </w:p>
    <w:p>
      <w:pPr>
        <w:pStyle w:val="5"/>
        <w:spacing w:line="360" w:lineRule="auto"/>
        <w:ind w:firstLine="480" w:firstLineChars="200"/>
      </w:pPr>
      <w:r>
        <w:rPr>
          <w:rFonts w:hint="eastAsia"/>
        </w:rPr>
        <w:t>1、监理主要任务：确保项目实施方按照合同暨投标文件要求实施项目建设，对承建方进行有效的监督和配合，确保工程保质、按时完成。</w:t>
      </w:r>
    </w:p>
    <w:p>
      <w:pPr>
        <w:pStyle w:val="5"/>
        <w:spacing w:line="360" w:lineRule="auto"/>
        <w:ind w:firstLine="480" w:firstLineChars="200"/>
        <w:jc w:val="both"/>
      </w:pPr>
      <w:r>
        <w:rPr>
          <w:rFonts w:hint="eastAsia"/>
        </w:rPr>
        <w:t>2、监理主要工作任务包括：制定针对该项目的监理工作计划；对照项目建设方案，督促承建方提交详细施工方案和进度计划，协助业主单位审核施工方案和进度计划，并监督工程建设方遵照实施；配合业主单位对项目进行功能、性能测试，配合业主单位验收；对工程安全、信息和知识产权等实施规范的管理（确保业主单位数据信息不外泄等）。</w:t>
      </w:r>
    </w:p>
    <w:p>
      <w:pPr>
        <w:pStyle w:val="5"/>
        <w:numPr>
          <w:ilvl w:val="0"/>
          <w:numId w:val="1"/>
        </w:numPr>
        <w:spacing w:line="360" w:lineRule="auto"/>
        <w:ind w:firstLine="480" w:firstLineChars="200"/>
      </w:pPr>
      <w:r>
        <w:rPr>
          <w:rFonts w:hint="eastAsia"/>
        </w:rPr>
        <w:t>监理服务内容</w:t>
      </w:r>
    </w:p>
    <w:p>
      <w:pPr>
        <w:pStyle w:val="5"/>
        <w:spacing w:line="360" w:lineRule="auto"/>
        <w:ind w:firstLine="480" w:firstLineChars="200"/>
        <w:jc w:val="both"/>
      </w:pPr>
      <w:r>
        <w:rPr>
          <w:rFonts w:hint="eastAsia"/>
        </w:rPr>
        <w:t>1、质量控制</w:t>
      </w:r>
    </w:p>
    <w:p>
      <w:pPr>
        <w:pStyle w:val="5"/>
        <w:spacing w:line="360" w:lineRule="auto"/>
        <w:ind w:firstLine="480" w:firstLineChars="200"/>
        <w:jc w:val="both"/>
      </w:pPr>
      <w:r>
        <w:rPr>
          <w:rFonts w:hint="eastAsia"/>
        </w:rPr>
        <w:t>依据有关的招标文件、投标文件、合同，审查、监督、控制各子项目的质量。通过事前预防、事中控制、事后纠正等措施，依据国家法律、法规、标准以及项目合同、监理规划、监理实施细则等文件控制工程质量。</w:t>
      </w:r>
    </w:p>
    <w:p>
      <w:pPr>
        <w:pStyle w:val="9"/>
        <w:numPr>
          <w:ilvl w:val="0"/>
          <w:numId w:val="2"/>
        </w:numPr>
        <w:tabs>
          <w:tab w:val="left" w:pos="1527"/>
        </w:tabs>
        <w:spacing w:before="0" w:line="360" w:lineRule="auto"/>
        <w:ind w:left="0" w:firstLine="480" w:firstLineChars="200"/>
        <w:rPr>
          <w:sz w:val="24"/>
          <w:szCs w:val="24"/>
        </w:rPr>
      </w:pPr>
      <w:r>
        <w:rPr>
          <w:rFonts w:hint="eastAsia"/>
          <w:sz w:val="24"/>
          <w:szCs w:val="24"/>
        </w:rPr>
        <w:t>事前质量控制</w:t>
      </w:r>
    </w:p>
    <w:p>
      <w:pPr>
        <w:pStyle w:val="5"/>
        <w:spacing w:line="360" w:lineRule="auto"/>
        <w:ind w:firstLine="480" w:firstLineChars="200"/>
      </w:pPr>
      <w:r>
        <w:rPr>
          <w:rFonts w:hint="eastAsia"/>
        </w:rPr>
        <w:t>①了解业主单位的业务需求，并将其作为监理工作的依据。</w:t>
      </w:r>
    </w:p>
    <w:p>
      <w:pPr>
        <w:pStyle w:val="5"/>
        <w:spacing w:line="360" w:lineRule="auto"/>
        <w:ind w:firstLine="480" w:firstLineChars="200"/>
      </w:pPr>
      <w:r>
        <w:rPr>
          <w:rFonts w:hint="eastAsia"/>
        </w:rPr>
        <w:t>②对验收方法、接收准则、时间进度的要求提出监理意见。</w:t>
      </w:r>
    </w:p>
    <w:p>
      <w:pPr>
        <w:pStyle w:val="5"/>
        <w:spacing w:line="360" w:lineRule="auto"/>
        <w:ind w:firstLine="480" w:firstLineChars="200"/>
      </w:pPr>
      <w:r>
        <w:rPr>
          <w:rFonts w:hint="eastAsia"/>
        </w:rPr>
        <w:t>③协助合同编制，对合同提出监理意见。</w:t>
      </w:r>
    </w:p>
    <w:p>
      <w:pPr>
        <w:pStyle w:val="9"/>
        <w:numPr>
          <w:ilvl w:val="0"/>
          <w:numId w:val="2"/>
        </w:numPr>
        <w:tabs>
          <w:tab w:val="left" w:pos="1527"/>
        </w:tabs>
        <w:spacing w:before="0" w:line="360" w:lineRule="auto"/>
        <w:ind w:left="0" w:firstLine="480" w:firstLineChars="200"/>
        <w:rPr>
          <w:sz w:val="24"/>
          <w:szCs w:val="24"/>
        </w:rPr>
      </w:pPr>
      <w:r>
        <w:rPr>
          <w:rFonts w:hint="eastAsia"/>
          <w:sz w:val="24"/>
          <w:szCs w:val="24"/>
        </w:rPr>
        <w:t>事中质量控制</w:t>
      </w:r>
    </w:p>
    <w:p>
      <w:pPr>
        <w:pStyle w:val="5"/>
        <w:spacing w:line="360" w:lineRule="auto"/>
        <w:ind w:firstLine="480" w:firstLineChars="200"/>
      </w:pPr>
      <w:r>
        <w:rPr>
          <w:rFonts w:hint="eastAsia"/>
        </w:rPr>
        <w:t>①审核承建方提交的工程设计方案：</w:t>
      </w:r>
    </w:p>
    <w:p>
      <w:pPr>
        <w:pStyle w:val="5"/>
        <w:numPr>
          <w:ilvl w:val="0"/>
          <w:numId w:val="3"/>
        </w:numPr>
        <w:spacing w:line="360" w:lineRule="auto"/>
        <w:ind w:left="220" w:firstLine="440"/>
      </w:pPr>
      <w:r>
        <w:rPr>
          <w:rFonts w:hint="eastAsia"/>
        </w:rPr>
        <w:t>与项目合同、需求的符合性；</w:t>
      </w:r>
    </w:p>
    <w:p>
      <w:pPr>
        <w:pStyle w:val="5"/>
        <w:numPr>
          <w:ilvl w:val="0"/>
          <w:numId w:val="3"/>
        </w:numPr>
        <w:spacing w:line="360" w:lineRule="auto"/>
        <w:ind w:left="220" w:firstLine="440"/>
      </w:pPr>
      <w:r>
        <w:rPr>
          <w:rFonts w:hint="eastAsia"/>
          <w:spacing w:val="-1"/>
        </w:rPr>
        <w:t>关键技术的实现方法、流程及技术保障措施的合理性；</w:t>
      </w:r>
    </w:p>
    <w:p>
      <w:pPr>
        <w:pStyle w:val="5"/>
        <w:numPr>
          <w:ilvl w:val="0"/>
          <w:numId w:val="3"/>
        </w:numPr>
        <w:spacing w:line="360" w:lineRule="auto"/>
        <w:ind w:left="220" w:firstLine="440"/>
      </w:pPr>
      <w:r>
        <w:rPr>
          <w:rFonts w:hint="eastAsia"/>
        </w:rPr>
        <w:t>实施的质量保证措施的可行性；</w:t>
      </w:r>
    </w:p>
    <w:p>
      <w:pPr>
        <w:pStyle w:val="5"/>
        <w:numPr>
          <w:ilvl w:val="0"/>
          <w:numId w:val="3"/>
        </w:numPr>
        <w:spacing w:line="360" w:lineRule="auto"/>
        <w:ind w:left="220" w:firstLine="440"/>
      </w:pPr>
      <w:r>
        <w:rPr>
          <w:rFonts w:hint="eastAsia"/>
        </w:rPr>
        <w:t>实施组织机构保证。</w:t>
      </w:r>
    </w:p>
    <w:p>
      <w:pPr>
        <w:pStyle w:val="5"/>
        <w:spacing w:line="360" w:lineRule="auto"/>
        <w:ind w:firstLine="480" w:firstLineChars="200"/>
      </w:pPr>
      <w:r>
        <w:rPr>
          <w:rFonts w:hint="eastAsia"/>
        </w:rPr>
        <w:t>②对承建方提供的软硬件货物进行验收，对验收结果做验收记录，并经三方签认；对不符合合同或相关标准规定的货物拒绝签认。确保没有被签认的货物不得在工程实施中应用。</w:t>
      </w:r>
    </w:p>
    <w:p>
      <w:pPr>
        <w:pStyle w:val="5"/>
        <w:spacing w:line="360" w:lineRule="auto"/>
        <w:ind w:firstLine="480" w:firstLineChars="200"/>
      </w:pPr>
      <w:r>
        <w:rPr>
          <w:rFonts w:hint="eastAsia"/>
        </w:rPr>
        <w:t>③检查承建方项目实施状况、人员与实施方案的一致性；</w:t>
      </w:r>
    </w:p>
    <w:p>
      <w:pPr>
        <w:pStyle w:val="5"/>
        <w:spacing w:line="360" w:lineRule="auto"/>
        <w:ind w:firstLine="480" w:firstLineChars="200"/>
      </w:pPr>
      <w:r>
        <w:rPr>
          <w:rFonts w:hint="eastAsia"/>
        </w:rPr>
        <w:t>④阶段性质量监督、控制措施及方法。出现工程质量问题时，经确认后监理机构签发监理通知单，报业主、承建方，责令承建方整改。</w:t>
      </w:r>
    </w:p>
    <w:p>
      <w:pPr>
        <w:pStyle w:val="5"/>
        <w:spacing w:line="360" w:lineRule="auto"/>
        <w:ind w:firstLine="480" w:firstLineChars="200"/>
      </w:pPr>
      <w:r>
        <w:rPr>
          <w:rFonts w:hint="eastAsia"/>
        </w:rPr>
        <w:t>⑤及时处理承建方提交的工程中关键环节的实施申请，审核其合理性后签认，报业主单位批准。</w:t>
      </w:r>
    </w:p>
    <w:p>
      <w:pPr>
        <w:pStyle w:val="5"/>
        <w:spacing w:line="360" w:lineRule="auto"/>
        <w:ind w:firstLine="480" w:firstLineChars="200"/>
      </w:pPr>
      <w:r>
        <w:rPr>
          <w:rFonts w:hint="eastAsia"/>
        </w:rPr>
        <w:t>⑥检查承建方重要工程步骤的衔接工作。</w:t>
      </w:r>
    </w:p>
    <w:p>
      <w:pPr>
        <w:pStyle w:val="5"/>
        <w:spacing w:line="360" w:lineRule="auto"/>
        <w:ind w:firstLine="480" w:firstLineChars="200"/>
      </w:pPr>
      <w:r>
        <w:rPr>
          <w:rFonts w:hint="eastAsia"/>
        </w:rPr>
        <w:t>⑦及时处理变更申请，审核变更的合理性，保证工程总体质量、进度不受影响。</w:t>
      </w:r>
    </w:p>
    <w:p>
      <w:pPr>
        <w:pStyle w:val="5"/>
        <w:spacing w:line="360" w:lineRule="auto"/>
        <w:ind w:firstLine="480" w:firstLineChars="200"/>
      </w:pPr>
      <w:r>
        <w:rPr>
          <w:rFonts w:hint="eastAsia"/>
        </w:rPr>
        <w:t>⑧按照监理细则规定的程序处理工程中出现的质量事故。组织软件工程质量、系统集成质量事故的原因调查、问题分析、问题评估、事故处理；</w:t>
      </w:r>
    </w:p>
    <w:p>
      <w:pPr>
        <w:pStyle w:val="5"/>
        <w:spacing w:line="360" w:lineRule="auto"/>
        <w:ind w:firstLine="480" w:firstLineChars="200"/>
      </w:pPr>
      <w:r>
        <w:rPr>
          <w:rFonts w:hint="eastAsia"/>
        </w:rPr>
        <w:t>⑨若发现实施过程存在重大质量隐患，应及时向承建方签发停工令，并报业主单位，监督承建方进行整改。整改完毕后，及时处理承建方的复工申请。</w:t>
      </w:r>
    </w:p>
    <w:p>
      <w:pPr>
        <w:pStyle w:val="9"/>
        <w:numPr>
          <w:ilvl w:val="0"/>
          <w:numId w:val="2"/>
        </w:numPr>
        <w:tabs>
          <w:tab w:val="left" w:pos="1527"/>
        </w:tabs>
        <w:spacing w:before="0" w:line="360" w:lineRule="auto"/>
        <w:ind w:left="0" w:firstLine="480" w:firstLineChars="200"/>
        <w:rPr>
          <w:sz w:val="24"/>
          <w:szCs w:val="24"/>
        </w:rPr>
      </w:pPr>
      <w:r>
        <w:rPr>
          <w:rFonts w:hint="eastAsia"/>
          <w:sz w:val="24"/>
          <w:szCs w:val="24"/>
        </w:rPr>
        <w:t>事后质量控制</w:t>
      </w:r>
    </w:p>
    <w:p>
      <w:pPr>
        <w:pStyle w:val="5"/>
        <w:spacing w:line="360" w:lineRule="auto"/>
        <w:ind w:firstLine="480" w:firstLineChars="200"/>
      </w:pPr>
      <w:r>
        <w:rPr>
          <w:rFonts w:hint="eastAsia"/>
        </w:rPr>
        <w:t>①按照国家信息化项目管理流程，协助业主单位和承建方完成项目初验和终验。</w:t>
      </w:r>
    </w:p>
    <w:p>
      <w:pPr>
        <w:pStyle w:val="5"/>
        <w:spacing w:line="360" w:lineRule="auto"/>
        <w:ind w:firstLine="480" w:firstLineChars="200"/>
      </w:pPr>
      <w:r>
        <w:rPr>
          <w:rFonts w:hint="eastAsia"/>
        </w:rPr>
        <w:t>②协助业主单位审核承建方提交的验收计划及其方案，明确验收目标、各方责任、验收内容、验收标准、验收方式和验收结果等内容，审核后签署监理审核意见。</w:t>
      </w:r>
    </w:p>
    <w:p>
      <w:pPr>
        <w:pStyle w:val="5"/>
        <w:spacing w:line="360" w:lineRule="auto"/>
        <w:ind w:firstLine="480" w:firstLineChars="200"/>
      </w:pPr>
      <w:r>
        <w:rPr>
          <w:rFonts w:hint="eastAsia"/>
        </w:rPr>
        <w:t>③协助业主单位对初验中发现的质量问题进行评估，根据质量问题的性质和影响范围， 确定整改要求和整改后的验收方式，以监理通知单的形式告知承建方。</w:t>
      </w:r>
    </w:p>
    <w:p>
      <w:pPr>
        <w:pStyle w:val="5"/>
        <w:spacing w:line="360" w:lineRule="auto"/>
        <w:ind w:firstLine="480" w:firstLineChars="200"/>
      </w:pPr>
      <w:r>
        <w:rPr>
          <w:rFonts w:hint="eastAsia"/>
        </w:rPr>
        <w:t>④监督承建方根据整改要求提出整改方案，并监督整改过程。</w:t>
      </w:r>
    </w:p>
    <w:p>
      <w:pPr>
        <w:pStyle w:val="5"/>
        <w:spacing w:line="360" w:lineRule="auto"/>
        <w:ind w:firstLine="480" w:firstLineChars="200"/>
      </w:pPr>
      <w:r>
        <w:rPr>
          <w:rFonts w:hint="eastAsia"/>
        </w:rPr>
        <w:t>⑤与业主单位和承建方共同确认初验结果，签署初验合格报告。</w:t>
      </w:r>
    </w:p>
    <w:p>
      <w:pPr>
        <w:pStyle w:val="5"/>
        <w:spacing w:line="360" w:lineRule="auto"/>
        <w:ind w:firstLine="480" w:firstLineChars="200"/>
      </w:pPr>
      <w:r>
        <w:rPr>
          <w:rFonts w:hint="eastAsia"/>
        </w:rPr>
        <w:t>⑥监督系统的试运行，督促承建方解决试运行中出现的质量问题。</w:t>
      </w:r>
    </w:p>
    <w:p>
      <w:pPr>
        <w:pStyle w:val="5"/>
        <w:spacing w:line="360" w:lineRule="auto"/>
        <w:ind w:firstLine="480" w:firstLineChars="200"/>
      </w:pPr>
      <w:r>
        <w:rPr>
          <w:rFonts w:hint="eastAsia"/>
        </w:rPr>
        <w:t>⑦确认项目达到终验条件，协助业主单位组织工程终验。</w:t>
      </w:r>
    </w:p>
    <w:p>
      <w:pPr>
        <w:pStyle w:val="5"/>
        <w:spacing w:line="360" w:lineRule="auto"/>
        <w:ind w:firstLine="480" w:firstLineChars="200"/>
      </w:pPr>
      <w:r>
        <w:rPr>
          <w:rFonts w:hint="eastAsia"/>
        </w:rPr>
        <w:t>⑧督促承建方完成项目实施方案中确定的培训，并对培训效果做出评估。</w:t>
      </w:r>
    </w:p>
    <w:p>
      <w:pPr>
        <w:pStyle w:val="5"/>
        <w:spacing w:line="360" w:lineRule="auto"/>
        <w:ind w:firstLine="480" w:firstLineChars="200"/>
      </w:pPr>
      <w:r>
        <w:rPr>
          <w:rFonts w:hint="eastAsia"/>
        </w:rPr>
        <w:t>⑨跟踪各子项目在质保期内的运行状况，督促承建方做好售后服务。</w:t>
      </w:r>
    </w:p>
    <w:p>
      <w:pPr>
        <w:pStyle w:val="5"/>
        <w:spacing w:line="360" w:lineRule="auto"/>
        <w:ind w:firstLine="480" w:firstLineChars="200"/>
        <w:jc w:val="both"/>
      </w:pPr>
      <w:r>
        <w:rPr>
          <w:rFonts w:hint="eastAsia"/>
        </w:rPr>
        <w:t>2、进度控制</w:t>
      </w:r>
    </w:p>
    <w:p>
      <w:pPr>
        <w:pStyle w:val="5"/>
        <w:spacing w:line="360" w:lineRule="auto"/>
        <w:ind w:firstLine="480" w:firstLineChars="200"/>
      </w:pPr>
      <w:r>
        <w:rPr>
          <w:rFonts w:hint="eastAsia"/>
        </w:rPr>
        <w:t>审查各子项目进度计划，并监督计划的执行，通过事前预防、事中控制、事后纠正的措施，确定工作顺序，控制项目进度。</w:t>
      </w:r>
    </w:p>
    <w:p>
      <w:pPr>
        <w:pStyle w:val="9"/>
        <w:numPr>
          <w:ilvl w:val="0"/>
          <w:numId w:val="4"/>
        </w:numPr>
        <w:tabs>
          <w:tab w:val="left" w:pos="1527"/>
        </w:tabs>
        <w:spacing w:before="0" w:line="360" w:lineRule="auto"/>
        <w:ind w:left="0" w:firstLine="480" w:firstLineChars="200"/>
        <w:rPr>
          <w:sz w:val="24"/>
          <w:szCs w:val="24"/>
        </w:rPr>
      </w:pPr>
      <w:r>
        <w:rPr>
          <w:rFonts w:hint="eastAsia"/>
          <w:sz w:val="24"/>
          <w:szCs w:val="24"/>
        </w:rPr>
        <w:t>事前进度控制</w:t>
      </w:r>
    </w:p>
    <w:p>
      <w:pPr>
        <w:pStyle w:val="5"/>
        <w:spacing w:line="360" w:lineRule="auto"/>
        <w:ind w:firstLine="480" w:firstLineChars="200"/>
      </w:pPr>
      <w:r>
        <w:rPr>
          <w:rFonts w:hint="eastAsia"/>
        </w:rPr>
        <w:t>①协助编制项目工作计划，分析工程的内容及过程，对工程进度提出监理意见。</w:t>
      </w:r>
    </w:p>
    <w:p>
      <w:pPr>
        <w:pStyle w:val="5"/>
        <w:spacing w:line="360" w:lineRule="auto"/>
        <w:ind w:firstLine="480" w:firstLineChars="200"/>
      </w:pPr>
      <w:r>
        <w:rPr>
          <w:rFonts w:hint="eastAsia"/>
        </w:rPr>
        <w:t>②对工程合同中涉及的产品和服务的提供时间做出说明，并对业主单位的安排提出监理意见。</w:t>
      </w:r>
    </w:p>
    <w:p>
      <w:pPr>
        <w:pStyle w:val="9"/>
        <w:numPr>
          <w:ilvl w:val="0"/>
          <w:numId w:val="4"/>
        </w:numPr>
        <w:tabs>
          <w:tab w:val="left" w:pos="1527"/>
        </w:tabs>
        <w:spacing w:before="0" w:line="360" w:lineRule="auto"/>
        <w:ind w:left="0" w:firstLine="480" w:firstLineChars="200"/>
        <w:rPr>
          <w:sz w:val="24"/>
          <w:szCs w:val="24"/>
        </w:rPr>
      </w:pPr>
      <w:r>
        <w:rPr>
          <w:rFonts w:hint="eastAsia"/>
          <w:sz w:val="24"/>
          <w:szCs w:val="24"/>
        </w:rPr>
        <w:t>事中进度控制</w:t>
      </w:r>
    </w:p>
    <w:p>
      <w:pPr>
        <w:pStyle w:val="5"/>
        <w:spacing w:line="360" w:lineRule="auto"/>
        <w:ind w:firstLine="480" w:firstLineChars="200"/>
      </w:pPr>
      <w:r>
        <w:rPr>
          <w:rFonts w:hint="eastAsia"/>
        </w:rPr>
        <w:t>①审核承建方提交的工程进度计划的可行性、合理性、各阶段工作成果，签署监理审核意见；</w:t>
      </w:r>
    </w:p>
    <w:p>
      <w:pPr>
        <w:pStyle w:val="5"/>
        <w:spacing w:line="360" w:lineRule="auto"/>
        <w:ind w:firstLine="480" w:firstLineChars="200"/>
      </w:pPr>
      <w:r>
        <w:rPr>
          <w:rFonts w:hint="eastAsia"/>
        </w:rPr>
        <w:t>②根据工程进度计划，确定阶段性进度监督、控制的措施及方法，作为监理细则的内容；</w:t>
      </w:r>
    </w:p>
    <w:p>
      <w:pPr>
        <w:pStyle w:val="5"/>
        <w:spacing w:line="360" w:lineRule="auto"/>
        <w:ind w:firstLine="480" w:firstLineChars="200"/>
      </w:pPr>
      <w:r>
        <w:rPr>
          <w:rFonts w:hint="eastAsia"/>
        </w:rPr>
        <w:t>③审核承建方开工申请，检查工程准备情况，签发开工令，并报业主单位签认，通知承建方开始工程实施；</w:t>
      </w:r>
    </w:p>
    <w:p>
      <w:pPr>
        <w:pStyle w:val="5"/>
        <w:spacing w:line="360" w:lineRule="auto"/>
        <w:ind w:firstLine="480" w:firstLineChars="200"/>
      </w:pPr>
      <w:r>
        <w:rPr>
          <w:rFonts w:hint="eastAsia"/>
        </w:rPr>
        <w:t>④督促承建方提交阶段性进度计划，审核阶段性进度计划合理性，签署审核意见；</w:t>
      </w:r>
    </w:p>
    <w:p>
      <w:pPr>
        <w:pStyle w:val="5"/>
        <w:spacing w:line="360" w:lineRule="auto"/>
        <w:ind w:firstLine="480" w:firstLineChars="200"/>
      </w:pPr>
      <w:r>
        <w:rPr>
          <w:rFonts w:hint="eastAsia"/>
        </w:rPr>
        <w:t>⑤定期检查、记录工程的实际进度情况，确保实际进度与计划相一致；</w:t>
      </w:r>
    </w:p>
    <w:p>
      <w:pPr>
        <w:pStyle w:val="5"/>
        <w:spacing w:line="360" w:lineRule="auto"/>
        <w:ind w:firstLine="480" w:firstLineChars="200"/>
      </w:pPr>
      <w:r>
        <w:rPr>
          <w:rFonts w:hint="eastAsia"/>
        </w:rPr>
        <w:t>⑥发现工程未能按计划进行时，要求承建方调整或修改计划，采取必要措施加快开发进度，以使实际项目进度符合合同的要求；</w:t>
      </w:r>
    </w:p>
    <w:p>
      <w:pPr>
        <w:pStyle w:val="5"/>
        <w:spacing w:line="360" w:lineRule="auto"/>
        <w:ind w:firstLine="480" w:firstLineChars="200"/>
      </w:pPr>
      <w:r>
        <w:rPr>
          <w:rFonts w:hint="eastAsia"/>
        </w:rPr>
        <w:t>⑦当软件开发进度可能导致合同工期严重延误时，详细报告分析原因和提出对策，供业主单位采取措施或做出决定。</w:t>
      </w:r>
    </w:p>
    <w:p>
      <w:pPr>
        <w:pStyle w:val="9"/>
        <w:numPr>
          <w:ilvl w:val="0"/>
          <w:numId w:val="4"/>
        </w:numPr>
        <w:tabs>
          <w:tab w:val="left" w:pos="1527"/>
        </w:tabs>
        <w:spacing w:before="0" w:line="360" w:lineRule="auto"/>
        <w:ind w:left="0" w:firstLine="480" w:firstLineChars="200"/>
        <w:rPr>
          <w:sz w:val="24"/>
          <w:szCs w:val="24"/>
        </w:rPr>
      </w:pPr>
      <w:r>
        <w:rPr>
          <w:rFonts w:hint="eastAsia"/>
          <w:sz w:val="24"/>
          <w:szCs w:val="24"/>
        </w:rPr>
        <w:t>事后进度控制</w:t>
      </w:r>
    </w:p>
    <w:p>
      <w:pPr>
        <w:pStyle w:val="5"/>
        <w:spacing w:line="360" w:lineRule="auto"/>
        <w:ind w:firstLine="480" w:firstLineChars="200"/>
      </w:pPr>
      <w:r>
        <w:rPr>
          <w:rFonts w:hint="eastAsia"/>
        </w:rPr>
        <w:t>对验收阶段进度安排提出监理意见。</w:t>
      </w:r>
    </w:p>
    <w:p>
      <w:pPr>
        <w:pStyle w:val="5"/>
        <w:spacing w:line="360" w:lineRule="auto"/>
        <w:ind w:firstLine="480" w:firstLineChars="200"/>
      </w:pPr>
      <w:r>
        <w:rPr>
          <w:rFonts w:hint="eastAsia"/>
        </w:rPr>
        <w:t>3、投资控制</w:t>
      </w:r>
    </w:p>
    <w:p>
      <w:pPr>
        <w:pStyle w:val="5"/>
        <w:spacing w:line="360" w:lineRule="auto"/>
        <w:ind w:firstLine="480" w:firstLineChars="200"/>
      </w:pPr>
      <w:r>
        <w:rPr>
          <w:rFonts w:hint="eastAsia"/>
        </w:rPr>
        <w:t>协助业主单位审核和控制项目进度款的申报和支付，保证项目阶段用款计划顺利执行。</w:t>
      </w:r>
    </w:p>
    <w:p>
      <w:pPr>
        <w:pStyle w:val="5"/>
        <w:spacing w:line="360" w:lineRule="auto"/>
        <w:ind w:firstLine="480" w:firstLineChars="200"/>
      </w:pPr>
      <w:r>
        <w:rPr>
          <w:rFonts w:hint="eastAsia"/>
        </w:rPr>
        <w:t>4、合同管理</w:t>
      </w:r>
    </w:p>
    <w:p>
      <w:pPr>
        <w:pStyle w:val="5"/>
        <w:spacing w:line="360" w:lineRule="auto"/>
        <w:ind w:firstLine="480" w:firstLineChars="200"/>
      </w:pPr>
      <w:r>
        <w:rPr>
          <w:rFonts w:hint="eastAsia"/>
        </w:rPr>
        <w:t>协助业主单位与承建方签订合同；监督承建方履行合同；协助业主单位处理合同执行过程中的违约、索赔、延期、纠纷调解及仲裁等问题。</w:t>
      </w:r>
    </w:p>
    <w:p>
      <w:pPr>
        <w:pStyle w:val="5"/>
        <w:spacing w:line="360" w:lineRule="auto"/>
        <w:ind w:firstLine="480" w:firstLineChars="200"/>
      </w:pPr>
      <w:r>
        <w:rPr>
          <w:rFonts w:hint="eastAsia"/>
        </w:rPr>
        <w:t>5、信息管理</w:t>
      </w:r>
    </w:p>
    <w:p>
      <w:pPr>
        <w:pStyle w:val="5"/>
        <w:spacing w:line="360" w:lineRule="auto"/>
        <w:ind w:firstLine="480" w:firstLineChars="200"/>
      </w:pPr>
      <w:r>
        <w:rPr>
          <w:rFonts w:hint="eastAsia"/>
        </w:rPr>
        <w:t>及时向业主单位反映项目实施的动态信息，提交监理工作情况的工作文档。</w:t>
      </w:r>
    </w:p>
    <w:p>
      <w:pPr>
        <w:pStyle w:val="5"/>
        <w:spacing w:line="360" w:lineRule="auto"/>
        <w:ind w:firstLine="480" w:firstLineChars="200"/>
      </w:pPr>
      <w:r>
        <w:rPr>
          <w:rFonts w:hint="eastAsia"/>
        </w:rPr>
        <w:t>建立全面、准确反映实施阶段状况的图表、文档，收集和管理项目各类文档资料。</w:t>
      </w:r>
    </w:p>
    <w:p>
      <w:pPr>
        <w:pStyle w:val="5"/>
        <w:spacing w:line="360" w:lineRule="auto"/>
        <w:ind w:firstLine="480" w:firstLineChars="200"/>
        <w:jc w:val="both"/>
      </w:pPr>
      <w:r>
        <w:rPr>
          <w:rFonts w:hint="eastAsia"/>
        </w:rPr>
        <w:t>完成实施过程中各类会议纪要、备忘录、电子邮件、传真、电话记录等资料，完成资料的整理、审核和归档工作；</w:t>
      </w:r>
    </w:p>
    <w:p>
      <w:pPr>
        <w:pStyle w:val="5"/>
        <w:spacing w:line="360" w:lineRule="auto"/>
        <w:ind w:firstLine="480" w:firstLineChars="200"/>
        <w:jc w:val="both"/>
      </w:pPr>
      <w:r>
        <w:rPr>
          <w:rFonts w:hint="eastAsia"/>
        </w:rPr>
        <w:t>督促承建方及时完成各阶段设计文档、程序代码、测试记录、变更记录、问题跟踪处理记录等文件的归档工作，按归档要求进行分类整理归档，按时完成竣工验收资料（包括监理工作方面的资料），确保软件工程中各类文件传送的规范化、制度化。</w:t>
      </w:r>
    </w:p>
    <w:p>
      <w:pPr>
        <w:pStyle w:val="5"/>
        <w:spacing w:line="360" w:lineRule="auto"/>
        <w:ind w:firstLine="480" w:firstLineChars="200"/>
      </w:pPr>
      <w:r>
        <w:rPr>
          <w:rFonts w:hint="eastAsia"/>
        </w:rPr>
        <w:t>监理方的文档管理人员负责收集、管理监理工作各类文书资料，对监理工作文档、收发文签收登记等进行管理。</w:t>
      </w:r>
    </w:p>
    <w:p>
      <w:pPr>
        <w:pStyle w:val="5"/>
        <w:spacing w:line="360" w:lineRule="auto"/>
        <w:ind w:firstLine="480" w:firstLineChars="200"/>
      </w:pPr>
      <w:r>
        <w:rPr>
          <w:rFonts w:hint="eastAsia"/>
        </w:rPr>
        <w:t>6、组织协调</w:t>
      </w:r>
    </w:p>
    <w:p>
      <w:pPr>
        <w:pStyle w:val="5"/>
        <w:spacing w:line="360" w:lineRule="auto"/>
        <w:ind w:firstLine="480" w:firstLineChars="200"/>
      </w:pPr>
      <w:r>
        <w:rPr>
          <w:rFonts w:hint="eastAsia"/>
        </w:rPr>
        <w:t>协助业主单位划分各方的工作范围和职责。</w:t>
      </w:r>
    </w:p>
    <w:p>
      <w:pPr>
        <w:pStyle w:val="5"/>
        <w:spacing w:line="360" w:lineRule="auto"/>
        <w:ind w:firstLine="480" w:firstLineChars="200"/>
      </w:pPr>
      <w:r>
        <w:rPr>
          <w:rFonts w:hint="eastAsia"/>
        </w:rPr>
        <w:t>监督项目各方履行职责，协调各方的工作关系。</w:t>
      </w:r>
    </w:p>
    <w:p>
      <w:pPr>
        <w:pStyle w:val="5"/>
        <w:spacing w:line="360" w:lineRule="auto"/>
        <w:ind w:firstLine="480" w:firstLineChars="200"/>
      </w:pPr>
      <w:r>
        <w:rPr>
          <w:rFonts w:hint="eastAsia"/>
        </w:rPr>
        <w:t>建立畅通的沟通渠道，采取有效措施使项目信息在有关各方之间保持顺畅流通，积极协调项目各方之间的关系，推动项目实施过程中问题的有效解决。</w:t>
      </w:r>
    </w:p>
    <w:p>
      <w:pPr>
        <w:pStyle w:val="5"/>
        <w:spacing w:line="360" w:lineRule="auto"/>
        <w:ind w:firstLine="480" w:firstLineChars="200"/>
      </w:pPr>
      <w:r>
        <w:rPr>
          <w:rFonts w:hint="eastAsia"/>
        </w:rPr>
        <w:t>（三）监理服务范围</w:t>
      </w:r>
    </w:p>
    <w:p>
      <w:pPr>
        <w:pStyle w:val="5"/>
        <w:spacing w:line="360" w:lineRule="auto"/>
        <w:ind w:firstLine="480" w:firstLineChars="200"/>
        <w:jc w:val="both"/>
      </w:pPr>
      <w:r>
        <w:rPr>
          <w:rFonts w:hint="eastAsia"/>
        </w:rPr>
        <w:t>监理范围主要包括：总体实施方案和设计方案的质量把关，工程进度控制，投资控制，信息管理，建设安全管理，系统测试，系统集成调试，项目培训，系统试运行和验收工作的监理，系统移交及相关文档的起草和管理等工作，确保项目质量、进度和投资计划的顺利实施，做好项目合同与文档（资料）管理，受采购人委托，负责协调项目涉及的各承建单位之间的工作关系，并协调解决项目建设过程中的各类纠纷，针对项目建设情况，向采购人提出合理化的改进改良建议，并提供监理服务。</w:t>
      </w:r>
    </w:p>
    <w:p>
      <w:pPr>
        <w:pStyle w:val="5"/>
        <w:spacing w:line="360" w:lineRule="auto"/>
        <w:ind w:firstLine="480" w:firstLineChars="200"/>
      </w:pPr>
      <w:r>
        <w:rPr>
          <w:rFonts w:hint="eastAsia"/>
        </w:rPr>
        <w:t>监理方在开展监理工作过程中使用到的相关软硬件设备由监理方自行提供。</w:t>
      </w:r>
    </w:p>
    <w:p>
      <w:pPr>
        <w:pStyle w:val="5"/>
        <w:spacing w:line="360" w:lineRule="auto"/>
        <w:ind w:firstLine="480" w:firstLineChars="200"/>
      </w:pPr>
      <w:r>
        <w:rPr>
          <w:rFonts w:hint="eastAsia"/>
        </w:rPr>
        <w:t>（四）监理依据</w:t>
      </w:r>
    </w:p>
    <w:p>
      <w:pPr>
        <w:pStyle w:val="5"/>
        <w:spacing w:line="360" w:lineRule="auto"/>
        <w:ind w:firstLine="476" w:firstLineChars="200"/>
        <w:rPr>
          <w:spacing w:val="-1"/>
        </w:rPr>
      </w:pPr>
      <w:r>
        <w:rPr>
          <w:rFonts w:hint="eastAsia"/>
          <w:spacing w:val="-1"/>
        </w:rPr>
        <w:t>本项目的监理应使用与本工程项目内容相关的下列最新版本的标准与规范：</w:t>
      </w:r>
    </w:p>
    <w:p>
      <w:pPr>
        <w:pStyle w:val="5"/>
        <w:spacing w:line="360" w:lineRule="auto"/>
        <w:ind w:firstLine="480" w:firstLineChars="200"/>
      </w:pPr>
      <w:r>
        <w:rPr>
          <w:rFonts w:hint="eastAsia"/>
        </w:rPr>
        <w:t>监理服务合同；</w:t>
      </w:r>
    </w:p>
    <w:p>
      <w:pPr>
        <w:pStyle w:val="5"/>
        <w:spacing w:line="360" w:lineRule="auto"/>
        <w:ind w:firstLine="480" w:firstLineChars="200"/>
      </w:pPr>
      <w:r>
        <w:rPr>
          <w:rFonts w:hint="eastAsia"/>
        </w:rPr>
        <w:t>项目招标文件；</w:t>
      </w:r>
    </w:p>
    <w:p>
      <w:pPr>
        <w:pStyle w:val="5"/>
        <w:spacing w:line="360" w:lineRule="auto"/>
        <w:ind w:firstLine="480" w:firstLineChars="200"/>
      </w:pPr>
      <w:r>
        <w:rPr>
          <w:rFonts w:hint="eastAsia"/>
        </w:rPr>
        <w:t xml:space="preserve">业主与承建单位签订的施工合同； </w:t>
      </w:r>
    </w:p>
    <w:p>
      <w:pPr>
        <w:pStyle w:val="5"/>
        <w:spacing w:line="360" w:lineRule="auto"/>
        <w:ind w:firstLine="480" w:firstLineChars="200"/>
      </w:pPr>
      <w:r>
        <w:rPr>
          <w:rFonts w:hint="eastAsia"/>
        </w:rPr>
        <w:t>合同图纸及说明；</w:t>
      </w:r>
    </w:p>
    <w:p>
      <w:pPr>
        <w:pStyle w:val="5"/>
        <w:spacing w:line="360" w:lineRule="auto"/>
        <w:ind w:firstLine="480" w:firstLineChars="200"/>
      </w:pPr>
      <w:r>
        <w:rPr>
          <w:rFonts w:hint="eastAsia"/>
        </w:rPr>
        <w:t>国家、项目所在地颁布的监理法规等；</w:t>
      </w:r>
    </w:p>
    <w:p>
      <w:pPr>
        <w:pStyle w:val="5"/>
        <w:spacing w:line="360" w:lineRule="auto"/>
        <w:ind w:firstLine="480" w:firstLineChars="200"/>
      </w:pPr>
      <w:r>
        <w:rPr>
          <w:rFonts w:hint="eastAsia"/>
        </w:rPr>
        <w:t>业主授予的其他权限。</w:t>
      </w:r>
    </w:p>
    <w:p>
      <w:pPr>
        <w:pStyle w:val="5"/>
        <w:spacing w:line="360" w:lineRule="auto"/>
        <w:ind w:firstLine="480" w:firstLineChars="200"/>
      </w:pPr>
      <w:r>
        <w:rPr>
          <w:rFonts w:hint="eastAsia"/>
        </w:rPr>
        <w:t>（五）监理基本要求</w:t>
      </w:r>
    </w:p>
    <w:p>
      <w:pPr>
        <w:pStyle w:val="5"/>
        <w:spacing w:line="360" w:lineRule="auto"/>
        <w:ind w:firstLine="480" w:firstLineChars="200"/>
      </w:pPr>
      <w:r>
        <w:rPr>
          <w:rFonts w:hint="eastAsia"/>
        </w:rPr>
        <w:t>1、监理主要任务：确保项目实施方按照建设合同暨招标文件要求实施项目建设，对承建方进行有效的监督和配合，确保工程保质、按时完成。</w:t>
      </w:r>
    </w:p>
    <w:p>
      <w:pPr>
        <w:pStyle w:val="5"/>
        <w:spacing w:line="360" w:lineRule="auto"/>
        <w:ind w:firstLine="480" w:firstLineChars="200"/>
      </w:pPr>
      <w:r>
        <w:rPr>
          <w:rFonts w:hint="eastAsia"/>
        </w:rPr>
        <w:t>2、监理机构</w:t>
      </w:r>
    </w:p>
    <w:p>
      <w:pPr>
        <w:pStyle w:val="5"/>
        <w:spacing w:line="360" w:lineRule="auto"/>
        <w:ind w:firstLine="480" w:firstLineChars="200"/>
      </w:pPr>
      <w:r>
        <w:rPr>
          <w:rFonts w:hint="eastAsia"/>
        </w:rPr>
        <w:t>监理单位在执行监理合同时建立工程项目监理机构，在完成合同约定的监理任务后方可解散。监理机构应严格按照合同履行监理责任。</w:t>
      </w:r>
    </w:p>
    <w:p>
      <w:pPr>
        <w:pStyle w:val="5"/>
        <w:spacing w:line="360" w:lineRule="auto"/>
        <w:ind w:firstLine="480" w:firstLineChars="200"/>
      </w:pPr>
      <w:r>
        <w:rPr>
          <w:rFonts w:hint="eastAsia"/>
        </w:rPr>
        <w:t>监理机构应根据工程的具体情况，按合同约定，配备满足监理工作需要的办公场所、人员、设备、工具和车辆，应妥善使用业主所提供的设施。</w:t>
      </w:r>
    </w:p>
    <w:p>
      <w:pPr>
        <w:pStyle w:val="5"/>
        <w:spacing w:line="360" w:lineRule="auto"/>
        <w:ind w:firstLine="480" w:firstLineChars="200"/>
      </w:pPr>
      <w:r>
        <w:rPr>
          <w:rFonts w:hint="eastAsia"/>
        </w:rPr>
        <w:t>监理机构应遵守相应的监理工作制度，包括会议制度、监理文件制度、监理记录制度、工作报告制度等，保证监理工作协调有序的进行。</w:t>
      </w:r>
    </w:p>
    <w:p>
      <w:pPr>
        <w:pStyle w:val="5"/>
        <w:spacing w:line="360" w:lineRule="auto"/>
        <w:ind w:firstLine="480" w:firstLineChars="200"/>
      </w:pPr>
      <w:r>
        <w:rPr>
          <w:rFonts w:hint="eastAsia"/>
        </w:rPr>
        <w:t>3、工程监理大纲</w:t>
      </w:r>
    </w:p>
    <w:p>
      <w:pPr>
        <w:pStyle w:val="5"/>
        <w:spacing w:line="360" w:lineRule="auto"/>
        <w:ind w:firstLine="480" w:firstLineChars="200"/>
      </w:pPr>
      <w:r>
        <w:rPr>
          <w:rFonts w:hint="eastAsia"/>
        </w:rPr>
        <w:t>监理单位应根据项目的实际情况编制项目监理大纲，确定项目监理机构的具体工作目标和任务，规定具体的监理工作制度、程序、方法和措施。</w:t>
      </w:r>
    </w:p>
    <w:p>
      <w:pPr>
        <w:pStyle w:val="5"/>
        <w:spacing w:line="360" w:lineRule="auto"/>
        <w:ind w:firstLine="480" w:firstLineChars="200"/>
      </w:pPr>
      <w:r>
        <w:rPr>
          <w:rFonts w:hint="eastAsia"/>
        </w:rPr>
        <w:t>监理单位应编制项目监理实施方案，实施方案应符合项目监理大纲的要求，并应结合工程项目的特点，做到详细具体，可操作。</w:t>
      </w:r>
    </w:p>
    <w:p>
      <w:pPr>
        <w:pStyle w:val="5"/>
        <w:spacing w:line="360" w:lineRule="auto"/>
        <w:ind w:firstLine="480" w:firstLineChars="200"/>
      </w:pPr>
      <w:r>
        <w:rPr>
          <w:rFonts w:hint="eastAsia"/>
        </w:rPr>
        <w:t>4、监理工作质量要求</w:t>
      </w:r>
    </w:p>
    <w:p>
      <w:pPr>
        <w:pStyle w:val="9"/>
        <w:numPr>
          <w:ilvl w:val="0"/>
          <w:numId w:val="5"/>
        </w:numPr>
        <w:tabs>
          <w:tab w:val="left" w:pos="1535"/>
        </w:tabs>
        <w:spacing w:before="0" w:line="360" w:lineRule="auto"/>
        <w:ind w:left="0" w:firstLine="480" w:firstLineChars="200"/>
        <w:jc w:val="both"/>
        <w:rPr>
          <w:sz w:val="24"/>
          <w:szCs w:val="24"/>
        </w:rPr>
      </w:pPr>
      <w:r>
        <w:rPr>
          <w:rFonts w:hint="eastAsia"/>
          <w:sz w:val="24"/>
          <w:szCs w:val="24"/>
        </w:rPr>
        <w:t>监理公司应该在质量控制、投资控制、进度控制、信息管理、合同管理等几个方面</w:t>
      </w:r>
      <w:r>
        <w:rPr>
          <w:rFonts w:hint="eastAsia"/>
          <w:spacing w:val="4"/>
          <w:sz w:val="24"/>
          <w:szCs w:val="24"/>
        </w:rPr>
        <w:t>对监理工程采取必要和完善的监督、控制和管理措施，保证监理工程能够按时、按质、按量竣工。</w:t>
      </w:r>
    </w:p>
    <w:p>
      <w:pPr>
        <w:pStyle w:val="9"/>
        <w:numPr>
          <w:ilvl w:val="0"/>
          <w:numId w:val="5"/>
        </w:numPr>
        <w:tabs>
          <w:tab w:val="left" w:pos="1535"/>
        </w:tabs>
        <w:spacing w:before="0" w:line="360" w:lineRule="auto"/>
        <w:ind w:left="0" w:firstLine="480" w:firstLineChars="200"/>
        <w:rPr>
          <w:sz w:val="24"/>
          <w:szCs w:val="24"/>
        </w:rPr>
      </w:pPr>
      <w:r>
        <w:rPr>
          <w:rFonts w:hint="eastAsia"/>
          <w:sz w:val="24"/>
          <w:szCs w:val="24"/>
        </w:rPr>
        <w:t>监理公司必须定时（每周）向项目建设单位通报工程进展情况及工程实施过程中所遇到的问题。</w:t>
      </w:r>
    </w:p>
    <w:p>
      <w:pPr>
        <w:pStyle w:val="9"/>
        <w:numPr>
          <w:ilvl w:val="0"/>
          <w:numId w:val="5"/>
        </w:numPr>
        <w:tabs>
          <w:tab w:val="left" w:pos="1535"/>
        </w:tabs>
        <w:spacing w:before="0" w:line="360" w:lineRule="auto"/>
        <w:ind w:left="0" w:firstLine="480" w:firstLineChars="200"/>
        <w:jc w:val="both"/>
        <w:rPr>
          <w:sz w:val="24"/>
          <w:szCs w:val="24"/>
        </w:rPr>
      </w:pPr>
      <w:r>
        <w:rPr>
          <w:rFonts w:hint="eastAsia"/>
          <w:sz w:val="24"/>
          <w:szCs w:val="24"/>
        </w:rPr>
        <w:t>为提高项目管理的效率和科学性，监理单位应具备配套的项目管理平台系统和电子</w:t>
      </w:r>
      <w:r>
        <w:rPr>
          <w:rFonts w:hint="eastAsia"/>
          <w:spacing w:val="4"/>
          <w:sz w:val="24"/>
          <w:szCs w:val="24"/>
        </w:rPr>
        <w:t>协同云平台系统，同时具有现场工艺追溯系统软件。针对本项目需要提供的全电子化管理服务方案，包括但不限于在多端应用、全程管理、全电子、全程可视、全域管理，从建设到交付的全局专项服务解决方案，供应商须承诺为建设单位和承建单位免费开通并使用，否则不响应招标文件要求。</w:t>
      </w:r>
    </w:p>
    <w:p>
      <w:pPr>
        <w:pStyle w:val="5"/>
        <w:spacing w:line="360" w:lineRule="auto"/>
        <w:ind w:firstLine="480" w:firstLineChars="200"/>
      </w:pPr>
      <w:r>
        <w:rPr>
          <w:rFonts w:hint="eastAsia"/>
        </w:rPr>
        <w:t>5、监理的责任</w:t>
      </w:r>
    </w:p>
    <w:p>
      <w:pPr>
        <w:pStyle w:val="9"/>
        <w:numPr>
          <w:ilvl w:val="0"/>
          <w:numId w:val="6"/>
        </w:numPr>
        <w:tabs>
          <w:tab w:val="left" w:pos="1535"/>
        </w:tabs>
        <w:spacing w:before="0" w:line="360" w:lineRule="auto"/>
        <w:ind w:left="0" w:firstLine="480" w:firstLineChars="200"/>
        <w:rPr>
          <w:sz w:val="24"/>
          <w:szCs w:val="24"/>
        </w:rPr>
      </w:pPr>
      <w:r>
        <w:rPr>
          <w:rFonts w:hint="eastAsia"/>
          <w:sz w:val="24"/>
          <w:szCs w:val="24"/>
        </w:rPr>
        <w:t>监理单位有责任为建设单位提供项目顾问咨询意见，有义务帮助承建单位实现合同所规定的目标，公正维护各方的合法权益。</w:t>
      </w:r>
    </w:p>
    <w:p>
      <w:pPr>
        <w:pStyle w:val="9"/>
        <w:numPr>
          <w:ilvl w:val="0"/>
          <w:numId w:val="6"/>
        </w:numPr>
        <w:tabs>
          <w:tab w:val="left" w:pos="1535"/>
        </w:tabs>
        <w:spacing w:before="0" w:line="360" w:lineRule="auto"/>
        <w:ind w:left="0" w:firstLine="480" w:firstLineChars="200"/>
        <w:rPr>
          <w:sz w:val="24"/>
          <w:szCs w:val="24"/>
        </w:rPr>
      </w:pPr>
      <w:r>
        <w:rPr>
          <w:rFonts w:hint="eastAsia"/>
          <w:sz w:val="24"/>
          <w:szCs w:val="24"/>
        </w:rPr>
        <w:t>在本合同期内及合同终止后，未征得建设单位同意，不得泄露与本工程项目有关的资料。</w:t>
      </w:r>
    </w:p>
    <w:p>
      <w:pPr>
        <w:pStyle w:val="9"/>
        <w:numPr>
          <w:ilvl w:val="0"/>
          <w:numId w:val="6"/>
        </w:numPr>
        <w:tabs>
          <w:tab w:val="left" w:pos="1535"/>
        </w:tabs>
        <w:spacing w:before="0" w:line="360" w:lineRule="auto"/>
        <w:ind w:left="0" w:firstLine="480" w:firstLineChars="200"/>
        <w:rPr>
          <w:sz w:val="24"/>
          <w:szCs w:val="24"/>
        </w:rPr>
      </w:pPr>
      <w:r>
        <w:rPr>
          <w:rFonts w:hint="eastAsia"/>
          <w:sz w:val="24"/>
          <w:szCs w:val="24"/>
        </w:rPr>
        <w:t>由于承建单位在工程实施中不符合工程规范和质量要求，监理单位要监督承建单位停工整改或返工。如承建单位人员工作不力，可提出调换有关人员。</w:t>
      </w:r>
    </w:p>
    <w:p>
      <w:pPr>
        <w:pStyle w:val="9"/>
        <w:numPr>
          <w:ilvl w:val="0"/>
          <w:numId w:val="6"/>
        </w:numPr>
        <w:tabs>
          <w:tab w:val="left" w:pos="1535"/>
        </w:tabs>
        <w:spacing w:before="0" w:line="360" w:lineRule="auto"/>
        <w:ind w:left="0" w:firstLine="480" w:firstLineChars="200"/>
        <w:rPr>
          <w:sz w:val="24"/>
          <w:szCs w:val="24"/>
        </w:rPr>
      </w:pPr>
      <w:r>
        <w:rPr>
          <w:rFonts w:hint="eastAsia"/>
          <w:sz w:val="24"/>
          <w:szCs w:val="24"/>
        </w:rPr>
        <w:t>如果承建单位违反合同规定的质量要求和完工时限，监理单位应协助建设单位追究有关承建单位的责任。</w:t>
      </w:r>
    </w:p>
    <w:p>
      <w:pPr>
        <w:pStyle w:val="9"/>
        <w:numPr>
          <w:ilvl w:val="0"/>
          <w:numId w:val="6"/>
        </w:numPr>
        <w:tabs>
          <w:tab w:val="left" w:pos="1535"/>
        </w:tabs>
        <w:spacing w:before="0" w:line="360" w:lineRule="auto"/>
        <w:ind w:left="0" w:firstLine="480" w:firstLineChars="200"/>
        <w:rPr>
          <w:sz w:val="24"/>
          <w:szCs w:val="24"/>
        </w:rPr>
      </w:pPr>
      <w:r>
        <w:rPr>
          <w:rFonts w:hint="eastAsia"/>
          <w:sz w:val="24"/>
          <w:szCs w:val="24"/>
        </w:rPr>
        <w:t>监理单位使用建设单位提供的设备和物品属建设单位所有，在监理工作完成或终止时，应将设备和剩余物品在合同规定的时间和方式移交给建设单位。</w:t>
      </w:r>
    </w:p>
    <w:p>
      <w:pPr>
        <w:pStyle w:val="5"/>
        <w:spacing w:line="360" w:lineRule="auto"/>
        <w:ind w:firstLine="480" w:firstLineChars="200"/>
      </w:pPr>
      <w:r>
        <w:rPr>
          <w:rFonts w:hint="eastAsia"/>
        </w:rPr>
        <w:t>6、监理服务的范围及期限</w:t>
      </w:r>
    </w:p>
    <w:p>
      <w:pPr>
        <w:pStyle w:val="9"/>
        <w:numPr>
          <w:ilvl w:val="0"/>
          <w:numId w:val="7"/>
        </w:numPr>
        <w:tabs>
          <w:tab w:val="left" w:pos="1535"/>
        </w:tabs>
        <w:spacing w:before="0" w:line="360" w:lineRule="auto"/>
        <w:ind w:left="0" w:firstLine="480" w:firstLineChars="200"/>
        <w:rPr>
          <w:sz w:val="24"/>
          <w:szCs w:val="24"/>
        </w:rPr>
      </w:pPr>
      <w:r>
        <w:rPr>
          <w:rFonts w:hint="eastAsia"/>
          <w:sz w:val="24"/>
          <w:szCs w:val="24"/>
        </w:rPr>
        <w:t>工程范围：设计文件图纸和业主与工程承包人签订的合同文件规定的全部内容、合同补充条款增加的项目内容以及设计变更包括的内容。</w:t>
      </w:r>
    </w:p>
    <w:p>
      <w:pPr>
        <w:pStyle w:val="9"/>
        <w:numPr>
          <w:ilvl w:val="0"/>
          <w:numId w:val="7"/>
        </w:numPr>
        <w:tabs>
          <w:tab w:val="left" w:pos="1527"/>
        </w:tabs>
        <w:spacing w:before="0" w:line="360" w:lineRule="auto"/>
        <w:ind w:left="0" w:firstLine="480" w:firstLineChars="200"/>
        <w:rPr>
          <w:sz w:val="24"/>
          <w:szCs w:val="24"/>
        </w:rPr>
      </w:pPr>
      <w:r>
        <w:rPr>
          <w:rFonts w:hint="eastAsia"/>
          <w:sz w:val="24"/>
          <w:szCs w:val="24"/>
        </w:rPr>
        <w:t>工作范围包括工程设计咨询、实施监理、试运行期监理。</w:t>
      </w:r>
    </w:p>
    <w:p>
      <w:pPr>
        <w:pStyle w:val="9"/>
        <w:numPr>
          <w:ilvl w:val="0"/>
          <w:numId w:val="7"/>
        </w:numPr>
        <w:tabs>
          <w:tab w:val="left" w:pos="1527"/>
        </w:tabs>
        <w:spacing w:before="0" w:line="360" w:lineRule="auto"/>
        <w:ind w:left="0" w:firstLine="480" w:firstLineChars="200"/>
        <w:rPr>
          <w:sz w:val="24"/>
          <w:szCs w:val="24"/>
        </w:rPr>
      </w:pPr>
      <w:r>
        <w:rPr>
          <w:rFonts w:hint="eastAsia"/>
          <w:sz w:val="24"/>
          <w:szCs w:val="24"/>
        </w:rPr>
        <w:t>监理服务周期至所监理工程项目验收合格。</w:t>
      </w:r>
    </w:p>
    <w:p>
      <w:pPr>
        <w:pStyle w:val="9"/>
        <w:numPr>
          <w:ilvl w:val="0"/>
          <w:numId w:val="7"/>
        </w:numPr>
        <w:tabs>
          <w:tab w:val="left" w:pos="1527"/>
        </w:tabs>
        <w:spacing w:before="0" w:line="360" w:lineRule="auto"/>
        <w:ind w:left="0" w:firstLine="480" w:firstLineChars="200"/>
        <w:rPr>
          <w:sz w:val="24"/>
          <w:szCs w:val="24"/>
        </w:rPr>
      </w:pPr>
      <w:r>
        <w:rPr>
          <w:rFonts w:hint="eastAsia"/>
          <w:sz w:val="24"/>
          <w:szCs w:val="24"/>
        </w:rPr>
        <w:t>本招标文件规定的其他服务范围。</w:t>
      </w:r>
    </w:p>
    <w:p>
      <w:pPr>
        <w:pStyle w:val="5"/>
        <w:spacing w:line="360" w:lineRule="auto"/>
        <w:outlineLvl w:val="1"/>
        <w:rPr>
          <w:b/>
          <w:bCs/>
        </w:rPr>
      </w:pPr>
      <w:r>
        <w:rPr>
          <w:rFonts w:hint="eastAsia"/>
          <w:b/>
          <w:bCs/>
        </w:rPr>
        <w:t>三、报价要求</w:t>
      </w:r>
    </w:p>
    <w:p>
      <w:pPr>
        <w:pStyle w:val="5"/>
        <w:spacing w:line="360" w:lineRule="auto"/>
        <w:ind w:firstLine="480" w:firstLineChars="200"/>
      </w:pPr>
      <w:r>
        <w:rPr>
          <w:rFonts w:hint="eastAsia"/>
        </w:rPr>
        <w:t>本项目报总价，总价包括完成本项目所有费用，结算时不再根据工程量的增减或工期的调整而变动。供应商须在充分了解本项目的基础上合理报价。</w:t>
      </w:r>
    </w:p>
    <w:p>
      <w:pPr>
        <w:pStyle w:val="5"/>
        <w:spacing w:line="360" w:lineRule="auto"/>
        <w:outlineLvl w:val="1"/>
        <w:rPr>
          <w:b/>
          <w:bCs/>
        </w:rPr>
      </w:pPr>
      <w:r>
        <w:rPr>
          <w:rFonts w:hint="eastAsia"/>
          <w:b/>
          <w:bCs/>
        </w:rPr>
        <w:t>四、其他要求</w:t>
      </w:r>
    </w:p>
    <w:p>
      <w:pPr>
        <w:pStyle w:val="5"/>
        <w:spacing w:line="360" w:lineRule="auto"/>
        <w:ind w:firstLine="480" w:firstLineChars="200"/>
      </w:pPr>
      <w:r>
        <w:rPr>
          <w:rFonts w:hint="eastAsia"/>
        </w:rPr>
        <w:t>保密要求</w:t>
      </w:r>
    </w:p>
    <w:p>
      <w:pPr>
        <w:pStyle w:val="5"/>
        <w:spacing w:line="360" w:lineRule="auto"/>
        <w:ind w:firstLine="480" w:firstLineChars="200"/>
        <w:jc w:val="both"/>
      </w:pPr>
      <w:r>
        <w:rPr>
          <w:rFonts w:hint="eastAsia"/>
        </w:rPr>
        <w:t>本项目的内容涉及本项目的所有资料都视为内部涉密数据，成交供应商有责任和义务保证项目所涉及全部内容的保密和安全，不得在其他任何场合以任何手段使用。对于本项目中所涉及的全部内容的安全保密，服务实施前中标供应商需向采购人提供书面的保密保证。对于成交供应商未经采购人书面同意，以任何方式和渠道泄露秘密的情况，成交供应商将承担由此造成的一切损失并承担法律责任。成交供应商需建立完善的安全和保密体制，在本项目结束后，需将本次安全服务中所使用和拥有的采购人的资料进行归档和清点并归还，对于不能归还的资料进行书面说明由双方进行协商处理，成交供应商应在项目实施前与采购人签订保密协议。</w:t>
      </w:r>
    </w:p>
    <w:p>
      <w:pPr>
        <w:rPr>
          <w:sz w:val="24"/>
          <w:szCs w:val="24"/>
        </w:rPr>
      </w:pPr>
      <w:r>
        <w:rPr>
          <w:rFonts w:hint="eastAsia"/>
          <w:sz w:val="24"/>
          <w:szCs w:val="24"/>
        </w:rPr>
        <w:br w:type="page"/>
      </w:r>
    </w:p>
    <w:p>
      <w:pPr>
        <w:pStyle w:val="5"/>
        <w:spacing w:line="360" w:lineRule="auto"/>
        <w:outlineLvl w:val="1"/>
        <w:rPr>
          <w:b/>
          <w:bCs/>
        </w:rPr>
      </w:pPr>
      <w:r>
        <w:rPr>
          <w:rFonts w:hint="eastAsia"/>
          <w:b/>
          <w:bCs/>
        </w:rPr>
        <w:t>五、对投标人派驻本项目人员配备要求</w:t>
      </w:r>
    </w:p>
    <w:tbl>
      <w:tblPr>
        <w:tblStyle w:val="6"/>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51"/>
        <w:gridCol w:w="2131"/>
        <w:gridCol w:w="1321"/>
        <w:gridCol w:w="42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trPr>
        <w:tc>
          <w:tcPr>
            <w:tcW w:w="1651" w:type="dxa"/>
          </w:tcPr>
          <w:p>
            <w:pPr>
              <w:tabs>
                <w:tab w:val="left" w:pos="6829"/>
              </w:tabs>
              <w:spacing w:before="120" w:beforeLines="50"/>
              <w:jc w:val="center"/>
              <w:rPr>
                <w:sz w:val="24"/>
                <w:szCs w:val="24"/>
              </w:rPr>
            </w:pPr>
            <w:r>
              <w:rPr>
                <w:sz w:val="24"/>
                <w:szCs w:val="24"/>
              </w:rPr>
              <w:t>工作地点</w:t>
            </w:r>
          </w:p>
        </w:tc>
        <w:tc>
          <w:tcPr>
            <w:tcW w:w="2131" w:type="dxa"/>
          </w:tcPr>
          <w:p>
            <w:pPr>
              <w:pStyle w:val="10"/>
              <w:spacing w:before="120" w:beforeLines="50"/>
              <w:jc w:val="center"/>
              <w:rPr>
                <w:sz w:val="24"/>
                <w:szCs w:val="24"/>
              </w:rPr>
            </w:pPr>
            <w:r>
              <w:rPr>
                <w:sz w:val="24"/>
                <w:szCs w:val="24"/>
              </w:rPr>
              <w:t>岗位</w:t>
            </w:r>
          </w:p>
        </w:tc>
        <w:tc>
          <w:tcPr>
            <w:tcW w:w="1321" w:type="dxa"/>
          </w:tcPr>
          <w:p>
            <w:pPr>
              <w:pStyle w:val="10"/>
              <w:spacing w:before="120" w:beforeLines="50"/>
              <w:jc w:val="center"/>
              <w:rPr>
                <w:sz w:val="24"/>
                <w:szCs w:val="24"/>
              </w:rPr>
            </w:pPr>
            <w:r>
              <w:rPr>
                <w:sz w:val="24"/>
                <w:szCs w:val="24"/>
              </w:rPr>
              <w:t>人员配额</w:t>
            </w:r>
          </w:p>
        </w:tc>
        <w:tc>
          <w:tcPr>
            <w:tcW w:w="4277" w:type="dxa"/>
          </w:tcPr>
          <w:p>
            <w:pPr>
              <w:pStyle w:val="10"/>
              <w:spacing w:before="120" w:beforeLines="50"/>
              <w:jc w:val="center"/>
              <w:rPr>
                <w:sz w:val="24"/>
                <w:szCs w:val="24"/>
              </w:rPr>
            </w:pPr>
            <w:r>
              <w:rPr>
                <w:sz w:val="24"/>
                <w:szCs w:val="24"/>
              </w:rPr>
              <w:t>人员资格要求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1651" w:type="dxa"/>
            <w:vMerge w:val="restart"/>
          </w:tcPr>
          <w:p>
            <w:pPr>
              <w:pStyle w:val="10"/>
              <w:ind w:right="81"/>
              <w:jc w:val="center"/>
              <w:rPr>
                <w:sz w:val="24"/>
                <w:szCs w:val="24"/>
              </w:rPr>
            </w:pPr>
          </w:p>
          <w:p>
            <w:pPr>
              <w:pStyle w:val="10"/>
              <w:jc w:val="both"/>
              <w:rPr>
                <w:sz w:val="24"/>
                <w:szCs w:val="24"/>
              </w:rPr>
            </w:pPr>
          </w:p>
          <w:p>
            <w:pPr>
              <w:pStyle w:val="10"/>
              <w:jc w:val="both"/>
              <w:rPr>
                <w:sz w:val="24"/>
                <w:szCs w:val="24"/>
              </w:rPr>
            </w:pPr>
            <w:r>
              <w:rPr>
                <w:rFonts w:hint="eastAsia"/>
                <w:sz w:val="24"/>
                <w:szCs w:val="24"/>
              </w:rPr>
              <w:t>天长</w:t>
            </w:r>
            <w:r>
              <w:rPr>
                <w:sz w:val="24"/>
                <w:szCs w:val="24"/>
              </w:rPr>
              <w:t>市，建设单位指定地点</w:t>
            </w:r>
          </w:p>
        </w:tc>
        <w:tc>
          <w:tcPr>
            <w:tcW w:w="2131" w:type="dxa"/>
          </w:tcPr>
          <w:p>
            <w:pPr>
              <w:pStyle w:val="10"/>
              <w:spacing w:before="192"/>
              <w:ind w:left="344"/>
              <w:rPr>
                <w:sz w:val="24"/>
                <w:szCs w:val="24"/>
              </w:rPr>
            </w:pPr>
            <w:r>
              <w:rPr>
                <w:sz w:val="24"/>
                <w:szCs w:val="24"/>
              </w:rPr>
              <w:t>总监理工程师</w:t>
            </w:r>
          </w:p>
        </w:tc>
        <w:tc>
          <w:tcPr>
            <w:tcW w:w="1321" w:type="dxa"/>
          </w:tcPr>
          <w:p>
            <w:pPr>
              <w:pStyle w:val="10"/>
              <w:spacing w:before="192"/>
              <w:ind w:left="458" w:right="442"/>
              <w:jc w:val="center"/>
              <w:rPr>
                <w:sz w:val="24"/>
                <w:szCs w:val="24"/>
              </w:rPr>
            </w:pPr>
            <w:r>
              <w:rPr>
                <w:sz w:val="24"/>
                <w:szCs w:val="24"/>
              </w:rPr>
              <w:t>1人</w:t>
            </w:r>
          </w:p>
        </w:tc>
        <w:tc>
          <w:tcPr>
            <w:tcW w:w="4277" w:type="dxa"/>
          </w:tcPr>
          <w:p>
            <w:pPr>
              <w:pStyle w:val="10"/>
              <w:spacing w:before="192"/>
              <w:ind w:left="8"/>
              <w:rPr>
                <w:sz w:val="24"/>
                <w:szCs w:val="24"/>
                <w:highlight w:val="none"/>
              </w:rPr>
            </w:pPr>
            <w:r>
              <w:rPr>
                <w:sz w:val="24"/>
                <w:szCs w:val="24"/>
                <w:highlight w:val="none"/>
              </w:rPr>
              <w:t>信息系统</w:t>
            </w:r>
            <w:r>
              <w:rPr>
                <w:rFonts w:hint="eastAsia"/>
                <w:sz w:val="24"/>
                <w:szCs w:val="24"/>
                <w:highlight w:val="none"/>
              </w:rPr>
              <w:t>监理</w:t>
            </w:r>
            <w:r>
              <w:rPr>
                <w:sz w:val="24"/>
                <w:szCs w:val="24"/>
                <w:highlight w:val="none"/>
              </w:rPr>
              <w:t>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5" w:hRule="atLeast"/>
          <w:jc w:val="center"/>
        </w:trPr>
        <w:tc>
          <w:tcPr>
            <w:tcW w:w="1651" w:type="dxa"/>
            <w:vMerge w:val="continue"/>
            <w:tcBorders>
              <w:top w:val="nil"/>
            </w:tcBorders>
          </w:tcPr>
          <w:p>
            <w:pPr>
              <w:rPr>
                <w:sz w:val="24"/>
                <w:szCs w:val="24"/>
              </w:rPr>
            </w:pPr>
          </w:p>
        </w:tc>
        <w:tc>
          <w:tcPr>
            <w:tcW w:w="2131" w:type="dxa"/>
          </w:tcPr>
          <w:p>
            <w:pPr>
              <w:pStyle w:val="10"/>
              <w:spacing w:before="177"/>
              <w:ind w:left="104"/>
              <w:rPr>
                <w:sz w:val="24"/>
                <w:szCs w:val="24"/>
              </w:rPr>
            </w:pPr>
            <w:r>
              <w:rPr>
                <w:sz w:val="24"/>
                <w:szCs w:val="24"/>
              </w:rPr>
              <w:t>总监理工程师代表</w:t>
            </w:r>
          </w:p>
        </w:tc>
        <w:tc>
          <w:tcPr>
            <w:tcW w:w="1321" w:type="dxa"/>
          </w:tcPr>
          <w:p>
            <w:pPr>
              <w:pStyle w:val="10"/>
              <w:spacing w:before="177"/>
              <w:ind w:left="458" w:right="442"/>
              <w:jc w:val="center"/>
              <w:rPr>
                <w:sz w:val="24"/>
                <w:szCs w:val="24"/>
              </w:rPr>
            </w:pPr>
            <w:r>
              <w:rPr>
                <w:sz w:val="24"/>
                <w:szCs w:val="24"/>
              </w:rPr>
              <w:t>1人</w:t>
            </w:r>
          </w:p>
        </w:tc>
        <w:tc>
          <w:tcPr>
            <w:tcW w:w="4277" w:type="dxa"/>
          </w:tcPr>
          <w:p>
            <w:pPr>
              <w:pStyle w:val="10"/>
              <w:spacing w:before="177"/>
              <w:ind w:left="8"/>
              <w:rPr>
                <w:sz w:val="24"/>
                <w:szCs w:val="24"/>
                <w:highlight w:val="none"/>
              </w:rPr>
            </w:pPr>
            <w:r>
              <w:rPr>
                <w:sz w:val="24"/>
                <w:szCs w:val="24"/>
                <w:highlight w:val="none"/>
              </w:rPr>
              <w:t>信息系统</w:t>
            </w:r>
            <w:r>
              <w:rPr>
                <w:rFonts w:hint="eastAsia"/>
                <w:sz w:val="24"/>
                <w:szCs w:val="24"/>
                <w:highlight w:val="none"/>
              </w:rPr>
              <w:t>监理</w:t>
            </w:r>
            <w:r>
              <w:rPr>
                <w:sz w:val="24"/>
                <w:szCs w:val="24"/>
                <w:highlight w:val="none"/>
              </w:rPr>
              <w:t>师</w:t>
            </w:r>
            <w:r>
              <w:rPr>
                <w:rFonts w:hint="eastAsia"/>
                <w:sz w:val="24"/>
                <w:szCs w:val="24"/>
                <w:highlight w:val="none"/>
              </w:rPr>
              <w:t>或信息系统管理工程师或</w:t>
            </w:r>
            <w:r>
              <w:rPr>
                <w:sz w:val="24"/>
                <w:szCs w:val="24"/>
                <w:highlight w:val="none"/>
              </w:rPr>
              <w:t>信息系统项目管理师</w:t>
            </w:r>
            <w:r>
              <w:rPr>
                <w:rFonts w:hint="eastAsia"/>
                <w:sz w:val="24"/>
                <w:szCs w:val="24"/>
                <w:highlight w:val="none"/>
              </w:rPr>
              <w:t>或</w:t>
            </w:r>
            <w:r>
              <w:rPr>
                <w:sz w:val="24"/>
                <w:szCs w:val="24"/>
                <w:highlight w:val="none"/>
              </w:rPr>
              <w:t>系统架构设计师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5" w:hRule="atLeast"/>
          <w:jc w:val="center"/>
        </w:trPr>
        <w:tc>
          <w:tcPr>
            <w:tcW w:w="1651" w:type="dxa"/>
            <w:vMerge w:val="continue"/>
            <w:tcBorders>
              <w:top w:val="nil"/>
            </w:tcBorders>
          </w:tcPr>
          <w:p>
            <w:pPr>
              <w:rPr>
                <w:sz w:val="24"/>
                <w:szCs w:val="24"/>
              </w:rPr>
            </w:pPr>
          </w:p>
        </w:tc>
        <w:tc>
          <w:tcPr>
            <w:tcW w:w="2131" w:type="dxa"/>
          </w:tcPr>
          <w:p>
            <w:pPr>
              <w:pStyle w:val="10"/>
              <w:spacing w:before="177"/>
              <w:ind w:left="224"/>
              <w:rPr>
                <w:sz w:val="24"/>
                <w:szCs w:val="24"/>
              </w:rPr>
            </w:pPr>
            <w:r>
              <w:rPr>
                <w:sz w:val="24"/>
                <w:szCs w:val="24"/>
              </w:rPr>
              <w:t>专业监理工程师</w:t>
            </w:r>
          </w:p>
        </w:tc>
        <w:tc>
          <w:tcPr>
            <w:tcW w:w="1321" w:type="dxa"/>
          </w:tcPr>
          <w:p>
            <w:pPr>
              <w:pStyle w:val="10"/>
              <w:spacing w:before="177"/>
              <w:ind w:left="458" w:right="442"/>
              <w:jc w:val="center"/>
              <w:rPr>
                <w:sz w:val="24"/>
                <w:szCs w:val="24"/>
              </w:rPr>
            </w:pPr>
            <w:r>
              <w:rPr>
                <w:sz w:val="24"/>
                <w:szCs w:val="24"/>
              </w:rPr>
              <w:t>1人</w:t>
            </w:r>
          </w:p>
        </w:tc>
        <w:tc>
          <w:tcPr>
            <w:tcW w:w="4277" w:type="dxa"/>
          </w:tcPr>
          <w:p>
            <w:pPr>
              <w:pStyle w:val="10"/>
              <w:spacing w:before="177"/>
              <w:ind w:left="8"/>
              <w:rPr>
                <w:sz w:val="24"/>
                <w:szCs w:val="24"/>
                <w:highlight w:val="none"/>
              </w:rPr>
            </w:pPr>
            <w:r>
              <w:rPr>
                <w:sz w:val="24"/>
                <w:szCs w:val="24"/>
                <w:highlight w:val="none"/>
              </w:rPr>
              <w:t>软件评测师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13" w:hRule="atLeast"/>
          <w:jc w:val="center"/>
        </w:trPr>
        <w:tc>
          <w:tcPr>
            <w:tcW w:w="9380" w:type="dxa"/>
            <w:gridSpan w:val="4"/>
          </w:tcPr>
          <w:p>
            <w:pPr>
              <w:pStyle w:val="10"/>
              <w:spacing w:line="360" w:lineRule="auto"/>
              <w:rPr>
                <w:sz w:val="24"/>
                <w:szCs w:val="24"/>
              </w:rPr>
            </w:pPr>
            <w:r>
              <w:rPr>
                <w:sz w:val="24"/>
                <w:szCs w:val="24"/>
              </w:rPr>
              <w:t>人员配备通则：</w:t>
            </w:r>
          </w:p>
          <w:p>
            <w:pPr>
              <w:pStyle w:val="10"/>
              <w:spacing w:line="360" w:lineRule="auto"/>
              <w:rPr>
                <w:sz w:val="24"/>
                <w:szCs w:val="24"/>
              </w:rPr>
            </w:pPr>
            <w:r>
              <w:rPr>
                <w:sz w:val="24"/>
                <w:szCs w:val="24"/>
              </w:rPr>
              <w:t>1、表中所列监理人员配额为最低限度；</w:t>
            </w:r>
          </w:p>
          <w:p>
            <w:pPr>
              <w:pStyle w:val="10"/>
              <w:spacing w:line="360" w:lineRule="auto"/>
              <w:rPr>
                <w:sz w:val="24"/>
                <w:szCs w:val="24"/>
              </w:rPr>
            </w:pPr>
            <w:r>
              <w:rPr>
                <w:sz w:val="24"/>
                <w:szCs w:val="24"/>
              </w:rPr>
              <w:t>2、各类助理人员配额由监理单位根据采购文件要求及项目实际情况提供；</w:t>
            </w:r>
          </w:p>
          <w:p>
            <w:pPr>
              <w:pStyle w:val="10"/>
              <w:spacing w:line="360" w:lineRule="auto"/>
              <w:rPr>
                <w:sz w:val="24"/>
                <w:szCs w:val="24"/>
              </w:rPr>
            </w:pPr>
            <w:r>
              <w:rPr>
                <w:sz w:val="24"/>
                <w:szCs w:val="24"/>
              </w:rPr>
              <w:t>3、合同签订前，采购人将严格对照投标文件进行人员核对，投标文件拟派监理组织机构人员必须全部到位，一经发现擅自撤换或更改人员的，将取消中标资格，并上报主管部门按有关规定处理；</w:t>
            </w:r>
          </w:p>
          <w:p>
            <w:pPr>
              <w:pStyle w:val="10"/>
              <w:spacing w:line="360" w:lineRule="auto"/>
              <w:rPr>
                <w:sz w:val="24"/>
                <w:szCs w:val="24"/>
              </w:rPr>
            </w:pPr>
            <w:r>
              <w:rPr>
                <w:sz w:val="24"/>
                <w:szCs w:val="24"/>
              </w:rPr>
              <w:t xml:space="preserve">4、采购人对不合格或不满意的监理人员，有权要求更换，并对监理公司进行处罚，直至解除合同。各相关岗位应按建设单位要求时间进场，人员退场应提前发出书面申请，经建设单位批准后方可退场；                                                      </w:t>
            </w:r>
            <w:r>
              <w:rPr>
                <w:rFonts w:hint="eastAsia"/>
                <w:sz w:val="24"/>
                <w:szCs w:val="24"/>
              </w:rPr>
              <w:t xml:space="preserve">      </w:t>
            </w:r>
            <w:r>
              <w:rPr>
                <w:sz w:val="24"/>
                <w:szCs w:val="24"/>
              </w:rPr>
              <w:t>5、以上岗位必须专岗专职，一名监理人员只能在一个岗位上工作。</w:t>
            </w:r>
          </w:p>
        </w:tc>
      </w:tr>
    </w:tbl>
    <w:p/>
    <w:sectPr>
      <w:pgSz w:w="11900" w:h="16820"/>
      <w:pgMar w:top="2098" w:right="1474" w:bottom="1984" w:left="1587" w:header="0" w:footer="992" w:gutter="0"/>
      <w:pgBorders>
        <w:top w:val="none" w:sz="0" w:space="0"/>
        <w:left w:val="none" w:sz="0" w:space="0"/>
        <w:bottom w:val="none" w:sz="0" w:space="0"/>
        <w:right w:val="none" w:sz="0" w:space="0"/>
      </w:pgBorders>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306DC"/>
    <w:multiLevelType w:val="multilevel"/>
    <w:tmpl w:val="923306DC"/>
    <w:lvl w:ilvl="0" w:tentative="0">
      <w:start w:val="1"/>
      <w:numFmt w:val="decimal"/>
      <w:suff w:val="nothing"/>
      <w:lvlText w:val="（%1）"/>
      <w:lvlJc w:val="left"/>
      <w:pPr>
        <w:ind w:left="445" w:hanging="609"/>
        <w:jc w:val="left"/>
      </w:pPr>
      <w:rPr>
        <w:rFonts w:hint="default" w:ascii="宋体" w:hAnsi="宋体" w:eastAsia="宋体" w:cs="宋体"/>
        <w:spacing w:val="2"/>
        <w:w w:val="100"/>
        <w:sz w:val="22"/>
        <w:szCs w:val="22"/>
        <w:lang w:val="en-US" w:eastAsia="zh-CN" w:bidi="ar-SA"/>
      </w:rPr>
    </w:lvl>
    <w:lvl w:ilvl="1" w:tentative="0">
      <w:start w:val="0"/>
      <w:numFmt w:val="bullet"/>
      <w:lvlText w:val="•"/>
      <w:lvlJc w:val="left"/>
      <w:pPr>
        <w:ind w:left="1467" w:hanging="609"/>
      </w:pPr>
      <w:rPr>
        <w:rFonts w:hint="default"/>
        <w:lang w:val="en-US" w:eastAsia="zh-CN" w:bidi="ar-SA"/>
      </w:rPr>
    </w:lvl>
    <w:lvl w:ilvl="2" w:tentative="0">
      <w:start w:val="0"/>
      <w:numFmt w:val="bullet"/>
      <w:lvlText w:val="•"/>
      <w:lvlJc w:val="left"/>
      <w:pPr>
        <w:ind w:left="2495" w:hanging="609"/>
      </w:pPr>
      <w:rPr>
        <w:rFonts w:hint="default"/>
        <w:lang w:val="en-US" w:eastAsia="zh-CN" w:bidi="ar-SA"/>
      </w:rPr>
    </w:lvl>
    <w:lvl w:ilvl="3" w:tentative="0">
      <w:start w:val="0"/>
      <w:numFmt w:val="bullet"/>
      <w:lvlText w:val="•"/>
      <w:lvlJc w:val="left"/>
      <w:pPr>
        <w:ind w:left="3523" w:hanging="609"/>
      </w:pPr>
      <w:rPr>
        <w:rFonts w:hint="default"/>
        <w:lang w:val="en-US" w:eastAsia="zh-CN" w:bidi="ar-SA"/>
      </w:rPr>
    </w:lvl>
    <w:lvl w:ilvl="4" w:tentative="0">
      <w:start w:val="0"/>
      <w:numFmt w:val="bullet"/>
      <w:lvlText w:val="•"/>
      <w:lvlJc w:val="left"/>
      <w:pPr>
        <w:ind w:left="4551" w:hanging="609"/>
      </w:pPr>
      <w:rPr>
        <w:rFonts w:hint="default"/>
        <w:lang w:val="en-US" w:eastAsia="zh-CN" w:bidi="ar-SA"/>
      </w:rPr>
    </w:lvl>
    <w:lvl w:ilvl="5" w:tentative="0">
      <w:start w:val="0"/>
      <w:numFmt w:val="bullet"/>
      <w:lvlText w:val="•"/>
      <w:lvlJc w:val="left"/>
      <w:pPr>
        <w:ind w:left="5579" w:hanging="609"/>
      </w:pPr>
      <w:rPr>
        <w:rFonts w:hint="default"/>
        <w:lang w:val="en-US" w:eastAsia="zh-CN" w:bidi="ar-SA"/>
      </w:rPr>
    </w:lvl>
    <w:lvl w:ilvl="6" w:tentative="0">
      <w:start w:val="0"/>
      <w:numFmt w:val="bullet"/>
      <w:lvlText w:val="•"/>
      <w:lvlJc w:val="left"/>
      <w:pPr>
        <w:ind w:left="6607" w:hanging="609"/>
      </w:pPr>
      <w:rPr>
        <w:rFonts w:hint="default"/>
        <w:lang w:val="en-US" w:eastAsia="zh-CN" w:bidi="ar-SA"/>
      </w:rPr>
    </w:lvl>
    <w:lvl w:ilvl="7" w:tentative="0">
      <w:start w:val="0"/>
      <w:numFmt w:val="bullet"/>
      <w:lvlText w:val="•"/>
      <w:lvlJc w:val="left"/>
      <w:pPr>
        <w:ind w:left="7635" w:hanging="609"/>
      </w:pPr>
      <w:rPr>
        <w:rFonts w:hint="default"/>
        <w:lang w:val="en-US" w:eastAsia="zh-CN" w:bidi="ar-SA"/>
      </w:rPr>
    </w:lvl>
    <w:lvl w:ilvl="8" w:tentative="0">
      <w:start w:val="0"/>
      <w:numFmt w:val="bullet"/>
      <w:lvlText w:val="•"/>
      <w:lvlJc w:val="left"/>
      <w:pPr>
        <w:ind w:left="8663" w:hanging="609"/>
      </w:pPr>
      <w:rPr>
        <w:rFonts w:hint="default"/>
        <w:lang w:val="en-US" w:eastAsia="zh-CN" w:bidi="ar-SA"/>
      </w:rPr>
    </w:lvl>
  </w:abstractNum>
  <w:abstractNum w:abstractNumId="1">
    <w:nsid w:val="958283A2"/>
    <w:multiLevelType w:val="multilevel"/>
    <w:tmpl w:val="958283A2"/>
    <w:lvl w:ilvl="0" w:tentative="0">
      <w:start w:val="1"/>
      <w:numFmt w:val="decimal"/>
      <w:suff w:val="nothing"/>
      <w:lvlText w:val="（%1）"/>
      <w:lvlJc w:val="left"/>
      <w:pPr>
        <w:ind w:left="445" w:hanging="609"/>
        <w:jc w:val="left"/>
      </w:pPr>
      <w:rPr>
        <w:rFonts w:hint="default" w:ascii="宋体" w:hAnsi="宋体" w:eastAsia="宋体" w:cs="宋体"/>
        <w:spacing w:val="2"/>
        <w:w w:val="100"/>
        <w:sz w:val="22"/>
        <w:szCs w:val="22"/>
        <w:lang w:val="en-US" w:eastAsia="zh-CN" w:bidi="ar-SA"/>
      </w:rPr>
    </w:lvl>
    <w:lvl w:ilvl="1" w:tentative="0">
      <w:start w:val="0"/>
      <w:numFmt w:val="bullet"/>
      <w:lvlText w:val="•"/>
      <w:lvlJc w:val="left"/>
      <w:pPr>
        <w:ind w:left="1467" w:hanging="609"/>
      </w:pPr>
      <w:rPr>
        <w:rFonts w:hint="default"/>
        <w:lang w:val="en-US" w:eastAsia="zh-CN" w:bidi="ar-SA"/>
      </w:rPr>
    </w:lvl>
    <w:lvl w:ilvl="2" w:tentative="0">
      <w:start w:val="0"/>
      <w:numFmt w:val="bullet"/>
      <w:lvlText w:val="•"/>
      <w:lvlJc w:val="left"/>
      <w:pPr>
        <w:ind w:left="2495" w:hanging="609"/>
      </w:pPr>
      <w:rPr>
        <w:rFonts w:hint="default"/>
        <w:lang w:val="en-US" w:eastAsia="zh-CN" w:bidi="ar-SA"/>
      </w:rPr>
    </w:lvl>
    <w:lvl w:ilvl="3" w:tentative="0">
      <w:start w:val="0"/>
      <w:numFmt w:val="bullet"/>
      <w:lvlText w:val="•"/>
      <w:lvlJc w:val="left"/>
      <w:pPr>
        <w:ind w:left="3523" w:hanging="609"/>
      </w:pPr>
      <w:rPr>
        <w:rFonts w:hint="default"/>
        <w:lang w:val="en-US" w:eastAsia="zh-CN" w:bidi="ar-SA"/>
      </w:rPr>
    </w:lvl>
    <w:lvl w:ilvl="4" w:tentative="0">
      <w:start w:val="0"/>
      <w:numFmt w:val="bullet"/>
      <w:lvlText w:val="•"/>
      <w:lvlJc w:val="left"/>
      <w:pPr>
        <w:ind w:left="4551" w:hanging="609"/>
      </w:pPr>
      <w:rPr>
        <w:rFonts w:hint="default"/>
        <w:lang w:val="en-US" w:eastAsia="zh-CN" w:bidi="ar-SA"/>
      </w:rPr>
    </w:lvl>
    <w:lvl w:ilvl="5" w:tentative="0">
      <w:start w:val="0"/>
      <w:numFmt w:val="bullet"/>
      <w:lvlText w:val="•"/>
      <w:lvlJc w:val="left"/>
      <w:pPr>
        <w:ind w:left="5579" w:hanging="609"/>
      </w:pPr>
      <w:rPr>
        <w:rFonts w:hint="default"/>
        <w:lang w:val="en-US" w:eastAsia="zh-CN" w:bidi="ar-SA"/>
      </w:rPr>
    </w:lvl>
    <w:lvl w:ilvl="6" w:tentative="0">
      <w:start w:val="0"/>
      <w:numFmt w:val="bullet"/>
      <w:lvlText w:val="•"/>
      <w:lvlJc w:val="left"/>
      <w:pPr>
        <w:ind w:left="6607" w:hanging="609"/>
      </w:pPr>
      <w:rPr>
        <w:rFonts w:hint="default"/>
        <w:lang w:val="en-US" w:eastAsia="zh-CN" w:bidi="ar-SA"/>
      </w:rPr>
    </w:lvl>
    <w:lvl w:ilvl="7" w:tentative="0">
      <w:start w:val="0"/>
      <w:numFmt w:val="bullet"/>
      <w:lvlText w:val="•"/>
      <w:lvlJc w:val="left"/>
      <w:pPr>
        <w:ind w:left="7635" w:hanging="609"/>
      </w:pPr>
      <w:rPr>
        <w:rFonts w:hint="default"/>
        <w:lang w:val="en-US" w:eastAsia="zh-CN" w:bidi="ar-SA"/>
      </w:rPr>
    </w:lvl>
    <w:lvl w:ilvl="8" w:tentative="0">
      <w:start w:val="0"/>
      <w:numFmt w:val="bullet"/>
      <w:lvlText w:val="•"/>
      <w:lvlJc w:val="left"/>
      <w:pPr>
        <w:ind w:left="8663" w:hanging="609"/>
      </w:pPr>
      <w:rPr>
        <w:rFonts w:hint="default"/>
        <w:lang w:val="en-US" w:eastAsia="zh-CN" w:bidi="ar-SA"/>
      </w:rPr>
    </w:lvl>
  </w:abstractNum>
  <w:abstractNum w:abstractNumId="2">
    <w:nsid w:val="28764A1B"/>
    <w:multiLevelType w:val="singleLevel"/>
    <w:tmpl w:val="28764A1B"/>
    <w:lvl w:ilvl="0" w:tentative="0">
      <w:start w:val="1"/>
      <w:numFmt w:val="lowerLetter"/>
      <w:suff w:val="nothing"/>
      <w:lvlText w:val="%1、"/>
      <w:lvlJc w:val="left"/>
      <w:pPr>
        <w:ind w:left="395"/>
      </w:pPr>
    </w:lvl>
  </w:abstractNum>
  <w:abstractNum w:abstractNumId="3">
    <w:nsid w:val="37E8E89B"/>
    <w:multiLevelType w:val="multilevel"/>
    <w:tmpl w:val="37E8E89B"/>
    <w:lvl w:ilvl="0" w:tentative="0">
      <w:start w:val="1"/>
      <w:numFmt w:val="decimal"/>
      <w:suff w:val="nothing"/>
      <w:lvlText w:val="（%1）"/>
      <w:lvlJc w:val="left"/>
      <w:pPr>
        <w:ind w:left="1526" w:hanging="602"/>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2439" w:hanging="602"/>
      </w:pPr>
      <w:rPr>
        <w:rFonts w:hint="default"/>
        <w:lang w:val="en-US" w:eastAsia="zh-CN" w:bidi="ar-SA"/>
      </w:rPr>
    </w:lvl>
    <w:lvl w:ilvl="2" w:tentative="0">
      <w:start w:val="0"/>
      <w:numFmt w:val="bullet"/>
      <w:lvlText w:val="•"/>
      <w:lvlJc w:val="left"/>
      <w:pPr>
        <w:ind w:left="3359" w:hanging="602"/>
      </w:pPr>
      <w:rPr>
        <w:rFonts w:hint="default"/>
        <w:lang w:val="en-US" w:eastAsia="zh-CN" w:bidi="ar-SA"/>
      </w:rPr>
    </w:lvl>
    <w:lvl w:ilvl="3" w:tentative="0">
      <w:start w:val="0"/>
      <w:numFmt w:val="bullet"/>
      <w:lvlText w:val="•"/>
      <w:lvlJc w:val="left"/>
      <w:pPr>
        <w:ind w:left="4279" w:hanging="602"/>
      </w:pPr>
      <w:rPr>
        <w:rFonts w:hint="default"/>
        <w:lang w:val="en-US" w:eastAsia="zh-CN" w:bidi="ar-SA"/>
      </w:rPr>
    </w:lvl>
    <w:lvl w:ilvl="4" w:tentative="0">
      <w:start w:val="0"/>
      <w:numFmt w:val="bullet"/>
      <w:lvlText w:val="•"/>
      <w:lvlJc w:val="left"/>
      <w:pPr>
        <w:ind w:left="5199" w:hanging="602"/>
      </w:pPr>
      <w:rPr>
        <w:rFonts w:hint="default"/>
        <w:lang w:val="en-US" w:eastAsia="zh-CN" w:bidi="ar-SA"/>
      </w:rPr>
    </w:lvl>
    <w:lvl w:ilvl="5" w:tentative="0">
      <w:start w:val="0"/>
      <w:numFmt w:val="bullet"/>
      <w:lvlText w:val="•"/>
      <w:lvlJc w:val="left"/>
      <w:pPr>
        <w:ind w:left="6119" w:hanging="602"/>
      </w:pPr>
      <w:rPr>
        <w:rFonts w:hint="default"/>
        <w:lang w:val="en-US" w:eastAsia="zh-CN" w:bidi="ar-SA"/>
      </w:rPr>
    </w:lvl>
    <w:lvl w:ilvl="6" w:tentative="0">
      <w:start w:val="0"/>
      <w:numFmt w:val="bullet"/>
      <w:lvlText w:val="•"/>
      <w:lvlJc w:val="left"/>
      <w:pPr>
        <w:ind w:left="7039" w:hanging="602"/>
      </w:pPr>
      <w:rPr>
        <w:rFonts w:hint="default"/>
        <w:lang w:val="en-US" w:eastAsia="zh-CN" w:bidi="ar-SA"/>
      </w:rPr>
    </w:lvl>
    <w:lvl w:ilvl="7" w:tentative="0">
      <w:start w:val="0"/>
      <w:numFmt w:val="bullet"/>
      <w:lvlText w:val="•"/>
      <w:lvlJc w:val="left"/>
      <w:pPr>
        <w:ind w:left="7959" w:hanging="602"/>
      </w:pPr>
      <w:rPr>
        <w:rFonts w:hint="default"/>
        <w:lang w:val="en-US" w:eastAsia="zh-CN" w:bidi="ar-SA"/>
      </w:rPr>
    </w:lvl>
    <w:lvl w:ilvl="8" w:tentative="0">
      <w:start w:val="0"/>
      <w:numFmt w:val="bullet"/>
      <w:lvlText w:val="•"/>
      <w:lvlJc w:val="left"/>
      <w:pPr>
        <w:ind w:left="8879" w:hanging="602"/>
      </w:pPr>
      <w:rPr>
        <w:rFonts w:hint="default"/>
        <w:lang w:val="en-US" w:eastAsia="zh-CN" w:bidi="ar-SA"/>
      </w:rPr>
    </w:lvl>
  </w:abstractNum>
  <w:abstractNum w:abstractNumId="4">
    <w:nsid w:val="3DCFEC84"/>
    <w:multiLevelType w:val="multilevel"/>
    <w:tmpl w:val="3DCFEC84"/>
    <w:lvl w:ilvl="0" w:tentative="0">
      <w:start w:val="1"/>
      <w:numFmt w:val="decimal"/>
      <w:suff w:val="nothing"/>
      <w:lvlText w:val="（%1）"/>
      <w:lvlJc w:val="left"/>
      <w:pPr>
        <w:ind w:left="1526" w:hanging="602"/>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2439" w:hanging="602"/>
      </w:pPr>
      <w:rPr>
        <w:rFonts w:hint="default"/>
        <w:lang w:val="en-US" w:eastAsia="zh-CN" w:bidi="ar-SA"/>
      </w:rPr>
    </w:lvl>
    <w:lvl w:ilvl="2" w:tentative="0">
      <w:start w:val="0"/>
      <w:numFmt w:val="bullet"/>
      <w:lvlText w:val="•"/>
      <w:lvlJc w:val="left"/>
      <w:pPr>
        <w:ind w:left="3359" w:hanging="602"/>
      </w:pPr>
      <w:rPr>
        <w:rFonts w:hint="default"/>
        <w:lang w:val="en-US" w:eastAsia="zh-CN" w:bidi="ar-SA"/>
      </w:rPr>
    </w:lvl>
    <w:lvl w:ilvl="3" w:tentative="0">
      <w:start w:val="0"/>
      <w:numFmt w:val="bullet"/>
      <w:lvlText w:val="•"/>
      <w:lvlJc w:val="left"/>
      <w:pPr>
        <w:ind w:left="4279" w:hanging="602"/>
      </w:pPr>
      <w:rPr>
        <w:rFonts w:hint="default"/>
        <w:lang w:val="en-US" w:eastAsia="zh-CN" w:bidi="ar-SA"/>
      </w:rPr>
    </w:lvl>
    <w:lvl w:ilvl="4" w:tentative="0">
      <w:start w:val="0"/>
      <w:numFmt w:val="bullet"/>
      <w:lvlText w:val="•"/>
      <w:lvlJc w:val="left"/>
      <w:pPr>
        <w:ind w:left="5199" w:hanging="602"/>
      </w:pPr>
      <w:rPr>
        <w:rFonts w:hint="default"/>
        <w:lang w:val="en-US" w:eastAsia="zh-CN" w:bidi="ar-SA"/>
      </w:rPr>
    </w:lvl>
    <w:lvl w:ilvl="5" w:tentative="0">
      <w:start w:val="0"/>
      <w:numFmt w:val="bullet"/>
      <w:lvlText w:val="•"/>
      <w:lvlJc w:val="left"/>
      <w:pPr>
        <w:ind w:left="6119" w:hanging="602"/>
      </w:pPr>
      <w:rPr>
        <w:rFonts w:hint="default"/>
        <w:lang w:val="en-US" w:eastAsia="zh-CN" w:bidi="ar-SA"/>
      </w:rPr>
    </w:lvl>
    <w:lvl w:ilvl="6" w:tentative="0">
      <w:start w:val="0"/>
      <w:numFmt w:val="bullet"/>
      <w:lvlText w:val="•"/>
      <w:lvlJc w:val="left"/>
      <w:pPr>
        <w:ind w:left="7039" w:hanging="602"/>
      </w:pPr>
      <w:rPr>
        <w:rFonts w:hint="default"/>
        <w:lang w:val="en-US" w:eastAsia="zh-CN" w:bidi="ar-SA"/>
      </w:rPr>
    </w:lvl>
    <w:lvl w:ilvl="7" w:tentative="0">
      <w:start w:val="0"/>
      <w:numFmt w:val="bullet"/>
      <w:lvlText w:val="•"/>
      <w:lvlJc w:val="left"/>
      <w:pPr>
        <w:ind w:left="7959" w:hanging="602"/>
      </w:pPr>
      <w:rPr>
        <w:rFonts w:hint="default"/>
        <w:lang w:val="en-US" w:eastAsia="zh-CN" w:bidi="ar-SA"/>
      </w:rPr>
    </w:lvl>
    <w:lvl w:ilvl="8" w:tentative="0">
      <w:start w:val="0"/>
      <w:numFmt w:val="bullet"/>
      <w:lvlText w:val="•"/>
      <w:lvlJc w:val="left"/>
      <w:pPr>
        <w:ind w:left="8879" w:hanging="602"/>
      </w:pPr>
      <w:rPr>
        <w:rFonts w:hint="default"/>
        <w:lang w:val="en-US" w:eastAsia="zh-CN" w:bidi="ar-SA"/>
      </w:rPr>
    </w:lvl>
  </w:abstractNum>
  <w:abstractNum w:abstractNumId="5">
    <w:nsid w:val="46AD44FA"/>
    <w:multiLevelType w:val="singleLevel"/>
    <w:tmpl w:val="46AD44FA"/>
    <w:lvl w:ilvl="0" w:tentative="0">
      <w:start w:val="2"/>
      <w:numFmt w:val="chineseCounting"/>
      <w:suff w:val="nothing"/>
      <w:lvlText w:val="（%1）"/>
      <w:lvlJc w:val="left"/>
      <w:rPr>
        <w:rFonts w:hint="eastAsia"/>
      </w:rPr>
    </w:lvl>
  </w:abstractNum>
  <w:abstractNum w:abstractNumId="6">
    <w:nsid w:val="769A6E5C"/>
    <w:multiLevelType w:val="multilevel"/>
    <w:tmpl w:val="769A6E5C"/>
    <w:lvl w:ilvl="0" w:tentative="0">
      <w:start w:val="1"/>
      <w:numFmt w:val="decimal"/>
      <w:suff w:val="nothing"/>
      <w:lvlText w:val="（%1）"/>
      <w:lvlJc w:val="left"/>
      <w:pPr>
        <w:ind w:left="445" w:hanging="609"/>
        <w:jc w:val="left"/>
      </w:pPr>
      <w:rPr>
        <w:rFonts w:hint="default" w:ascii="宋体" w:hAnsi="宋体" w:eastAsia="宋体" w:cs="宋体"/>
        <w:spacing w:val="2"/>
        <w:w w:val="100"/>
        <w:sz w:val="22"/>
        <w:szCs w:val="22"/>
        <w:lang w:val="en-US" w:eastAsia="zh-CN" w:bidi="ar-SA"/>
      </w:rPr>
    </w:lvl>
    <w:lvl w:ilvl="1" w:tentative="0">
      <w:start w:val="0"/>
      <w:numFmt w:val="bullet"/>
      <w:lvlText w:val="•"/>
      <w:lvlJc w:val="left"/>
      <w:pPr>
        <w:ind w:left="1467" w:hanging="609"/>
      </w:pPr>
      <w:rPr>
        <w:rFonts w:hint="default"/>
        <w:lang w:val="en-US" w:eastAsia="zh-CN" w:bidi="ar-SA"/>
      </w:rPr>
    </w:lvl>
    <w:lvl w:ilvl="2" w:tentative="0">
      <w:start w:val="0"/>
      <w:numFmt w:val="bullet"/>
      <w:lvlText w:val="•"/>
      <w:lvlJc w:val="left"/>
      <w:pPr>
        <w:ind w:left="2495" w:hanging="609"/>
      </w:pPr>
      <w:rPr>
        <w:rFonts w:hint="default"/>
        <w:lang w:val="en-US" w:eastAsia="zh-CN" w:bidi="ar-SA"/>
      </w:rPr>
    </w:lvl>
    <w:lvl w:ilvl="3" w:tentative="0">
      <w:start w:val="0"/>
      <w:numFmt w:val="bullet"/>
      <w:lvlText w:val="•"/>
      <w:lvlJc w:val="left"/>
      <w:pPr>
        <w:ind w:left="3523" w:hanging="609"/>
      </w:pPr>
      <w:rPr>
        <w:rFonts w:hint="default"/>
        <w:lang w:val="en-US" w:eastAsia="zh-CN" w:bidi="ar-SA"/>
      </w:rPr>
    </w:lvl>
    <w:lvl w:ilvl="4" w:tentative="0">
      <w:start w:val="0"/>
      <w:numFmt w:val="bullet"/>
      <w:lvlText w:val="•"/>
      <w:lvlJc w:val="left"/>
      <w:pPr>
        <w:ind w:left="4551" w:hanging="609"/>
      </w:pPr>
      <w:rPr>
        <w:rFonts w:hint="default"/>
        <w:lang w:val="en-US" w:eastAsia="zh-CN" w:bidi="ar-SA"/>
      </w:rPr>
    </w:lvl>
    <w:lvl w:ilvl="5" w:tentative="0">
      <w:start w:val="0"/>
      <w:numFmt w:val="bullet"/>
      <w:lvlText w:val="•"/>
      <w:lvlJc w:val="left"/>
      <w:pPr>
        <w:ind w:left="5579" w:hanging="609"/>
      </w:pPr>
      <w:rPr>
        <w:rFonts w:hint="default"/>
        <w:lang w:val="en-US" w:eastAsia="zh-CN" w:bidi="ar-SA"/>
      </w:rPr>
    </w:lvl>
    <w:lvl w:ilvl="6" w:tentative="0">
      <w:start w:val="0"/>
      <w:numFmt w:val="bullet"/>
      <w:lvlText w:val="•"/>
      <w:lvlJc w:val="left"/>
      <w:pPr>
        <w:ind w:left="6607" w:hanging="609"/>
      </w:pPr>
      <w:rPr>
        <w:rFonts w:hint="default"/>
        <w:lang w:val="en-US" w:eastAsia="zh-CN" w:bidi="ar-SA"/>
      </w:rPr>
    </w:lvl>
    <w:lvl w:ilvl="7" w:tentative="0">
      <w:start w:val="0"/>
      <w:numFmt w:val="bullet"/>
      <w:lvlText w:val="•"/>
      <w:lvlJc w:val="left"/>
      <w:pPr>
        <w:ind w:left="7635" w:hanging="609"/>
      </w:pPr>
      <w:rPr>
        <w:rFonts w:hint="default"/>
        <w:lang w:val="en-US" w:eastAsia="zh-CN" w:bidi="ar-SA"/>
      </w:rPr>
    </w:lvl>
    <w:lvl w:ilvl="8" w:tentative="0">
      <w:start w:val="0"/>
      <w:numFmt w:val="bullet"/>
      <w:lvlText w:val="•"/>
      <w:lvlJc w:val="left"/>
      <w:pPr>
        <w:ind w:left="8663" w:hanging="609"/>
      </w:pPr>
      <w:rPr>
        <w:rFonts w:hint="default"/>
        <w:lang w:val="en-US" w:eastAsia="zh-CN" w:bidi="ar-SA"/>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jkxNjQ1Y2ZjY2I4MjllYTJmZDE4ZTE0NWI0YjEifQ=="/>
  </w:docVars>
  <w:rsids>
    <w:rsidRoot w:val="00000000"/>
    <w:rsid w:val="00B0737D"/>
    <w:rsid w:val="06081725"/>
    <w:rsid w:val="0D1D0890"/>
    <w:rsid w:val="0FDC551A"/>
    <w:rsid w:val="11E6626B"/>
    <w:rsid w:val="12BA02D7"/>
    <w:rsid w:val="19412AB6"/>
    <w:rsid w:val="1D546923"/>
    <w:rsid w:val="25636CF6"/>
    <w:rsid w:val="256452C4"/>
    <w:rsid w:val="26AB4113"/>
    <w:rsid w:val="2A47106F"/>
    <w:rsid w:val="31B67877"/>
    <w:rsid w:val="326C1437"/>
    <w:rsid w:val="3EE86FC3"/>
    <w:rsid w:val="3F1A2DC3"/>
    <w:rsid w:val="6EFF182A"/>
    <w:rsid w:val="742B523B"/>
    <w:rsid w:val="747800DC"/>
    <w:rsid w:val="74960EA2"/>
    <w:rsid w:val="78181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方正小标宋简体" w:hAnsi="方正小标宋简体" w:eastAsia="方正小标宋简体" w:cs="Arial"/>
      <w:snapToGrid w:val="0"/>
      <w:color w:val="000000"/>
      <w:kern w:val="44"/>
      <w:sz w:val="44"/>
      <w:szCs w:val="21"/>
    </w:rPr>
  </w:style>
  <w:style w:type="paragraph" w:styleId="3">
    <w:name w:val="heading 2"/>
    <w:basedOn w:val="1"/>
    <w:next w:val="1"/>
    <w:semiHidden/>
    <w:unhideWhenUsed/>
    <w:qFormat/>
    <w:uiPriority w:val="0"/>
    <w:pPr>
      <w:keepNext/>
      <w:keepLines/>
      <w:spacing w:beforeLines="0" w:beforeAutospacing="0" w:afterLines="0" w:afterAutospacing="0" w:line="560" w:lineRule="exact"/>
      <w:outlineLvl w:val="1"/>
    </w:pPr>
    <w:rPr>
      <w:rFonts w:ascii="黑体" w:hAnsi="黑体" w:eastAsia="黑体" w:cs="Arial"/>
      <w:snapToGrid w:val="0"/>
      <w:color w:val="000000"/>
      <w:kern w:val="0"/>
      <w:szCs w:val="21"/>
    </w:rPr>
  </w:style>
  <w:style w:type="paragraph" w:styleId="4">
    <w:name w:val="heading 3"/>
    <w:basedOn w:val="1"/>
    <w:next w:val="1"/>
    <w:autoRedefine/>
    <w:semiHidden/>
    <w:unhideWhenUsed/>
    <w:qFormat/>
    <w:uiPriority w:val="0"/>
    <w:pPr>
      <w:keepNext/>
      <w:keepLines/>
      <w:spacing w:beforeLines="0" w:beforeAutospacing="0" w:afterLines="0" w:afterAutospacing="0" w:line="560" w:lineRule="exact"/>
      <w:outlineLvl w:val="2"/>
    </w:pPr>
    <w:rPr>
      <w:b/>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Body Text"/>
    <w:basedOn w:val="1"/>
    <w:qFormat/>
    <w:uiPriority w:val="1"/>
    <w:rPr>
      <w:sz w:val="24"/>
      <w:szCs w:val="24"/>
    </w:rPr>
  </w:style>
  <w:style w:type="paragraph" w:customStyle="1" w:styleId="8">
    <w:name w:val="段中强调"/>
    <w:basedOn w:val="1"/>
    <w:next w:val="1"/>
    <w:autoRedefine/>
    <w:qFormat/>
    <w:uiPriority w:val="0"/>
    <w:pPr>
      <w:keepNext/>
      <w:keepLines/>
      <w:spacing w:beforeLines="0" w:afterLines="0"/>
      <w:outlineLvl w:val="1"/>
    </w:pPr>
    <w:rPr>
      <w:rFonts w:ascii="楷体_GB2312" w:hAnsi="楷体_GB2312" w:eastAsia="楷体_GB2312" w:cs="Arial"/>
      <w:b/>
      <w:snapToGrid w:val="0"/>
      <w:color w:val="000000"/>
      <w:kern w:val="0"/>
      <w:szCs w:val="21"/>
    </w:rPr>
  </w:style>
  <w:style w:type="paragraph" w:styleId="9">
    <w:name w:val="List Paragraph"/>
    <w:basedOn w:val="1"/>
    <w:autoRedefine/>
    <w:qFormat/>
    <w:uiPriority w:val="1"/>
    <w:pPr>
      <w:spacing w:before="1"/>
      <w:ind w:left="445" w:hanging="602"/>
    </w:pPr>
  </w:style>
  <w:style w:type="paragraph" w:customStyle="1" w:styleId="10">
    <w:name w:val="Table Paragraph"/>
    <w:basedOn w:val="1"/>
    <w:autoRedefine/>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2022-12-20T07:52:00Z</dcterms:created>
  <dc:creator>HP</dc:creator>
  <cp:lastModifiedBy>WPS_1669801556</cp:lastModifiedBy>
  <dcterms:modified xsi:type="dcterms:W3CDTF">2024-03-27T01:21:14Z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4419E5EE2A804DCC8B0B93BB8E556CEB</vt:lpwstr>
  </property>
</Properties>
</file>