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840" w:lineRule="atLeast"/>
        <w:ind w:left="0" w:right="0" w:firstLine="0"/>
        <w:jc w:val="center"/>
        <w:rPr>
          <w:rFonts w:ascii="仿宋_GB2312" w:hAnsi="宋体" w:eastAsia="仿宋_GB2312" w:cs="仿宋_GB2312"/>
          <w:i w:val="0"/>
          <w:iCs w:val="0"/>
          <w:caps w:val="0"/>
          <w:color w:val="333333"/>
          <w:spacing w:val="0"/>
          <w:kern w:val="0"/>
          <w:sz w:val="28"/>
          <w:szCs w:val="28"/>
          <w:shd w:val="clear" w:fill="F8F8F8"/>
          <w:lang w:val="en-US" w:eastAsia="zh-CN" w:bidi="ar"/>
        </w:rPr>
      </w:pPr>
      <w:r>
        <w:rPr>
          <w:rFonts w:hint="eastAsia" w:ascii="黑体" w:hAnsi="黑体" w:eastAsia="黑体" w:cs="黑体"/>
          <w:i w:val="0"/>
          <w:iCs w:val="0"/>
          <w:caps w:val="0"/>
          <w:color w:val="333333"/>
          <w:spacing w:val="0"/>
          <w:kern w:val="0"/>
          <w:sz w:val="44"/>
          <w:szCs w:val="44"/>
          <w:shd w:val="clear" w:fill="F8F8F8"/>
          <w:lang w:val="en-US" w:eastAsia="zh-CN" w:bidi="ar"/>
        </w:rPr>
        <w:t>  </w:t>
      </w:r>
      <w:r>
        <w:rPr>
          <w:rFonts w:hint="eastAsia" w:ascii="黑体" w:hAnsi="黑体" w:eastAsia="黑体" w:cs="黑体"/>
          <w:b w:val="0"/>
          <w:bCs w:val="0"/>
          <w:i w:val="0"/>
          <w:iCs w:val="0"/>
          <w:caps w:val="0"/>
          <w:color w:val="333333"/>
          <w:spacing w:val="0"/>
          <w:sz w:val="44"/>
          <w:szCs w:val="44"/>
          <w:shd w:val="clear" w:fill="F8F8F8"/>
        </w:rPr>
        <w:t>天长市广陵街道办事处202</w:t>
      </w:r>
      <w:r>
        <w:rPr>
          <w:rFonts w:hint="eastAsia" w:ascii="黑体" w:hAnsi="黑体" w:eastAsia="黑体" w:cs="黑体"/>
          <w:b w:val="0"/>
          <w:bCs w:val="0"/>
          <w:i w:val="0"/>
          <w:iCs w:val="0"/>
          <w:caps w:val="0"/>
          <w:color w:val="333333"/>
          <w:spacing w:val="0"/>
          <w:sz w:val="44"/>
          <w:szCs w:val="44"/>
          <w:shd w:val="clear" w:fill="F8F8F8"/>
          <w:lang w:val="en-US" w:eastAsia="zh-CN"/>
        </w:rPr>
        <w:t>3</w:t>
      </w:r>
      <w:r>
        <w:rPr>
          <w:rFonts w:hint="eastAsia" w:ascii="黑体" w:hAnsi="黑体" w:eastAsia="黑体" w:cs="黑体"/>
          <w:b w:val="0"/>
          <w:bCs w:val="0"/>
          <w:i w:val="0"/>
          <w:iCs w:val="0"/>
          <w:caps w:val="0"/>
          <w:color w:val="333333"/>
          <w:spacing w:val="0"/>
          <w:sz w:val="44"/>
          <w:szCs w:val="44"/>
          <w:shd w:val="clear" w:fill="F8F8F8"/>
        </w:rPr>
        <w:t>年政府信息公开工作年度报告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640" w:firstLineChars="200"/>
        <w:jc w:val="lef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shd w:val="clear" w:fill="F8F8F8"/>
          <w:lang w:val="en-US" w:eastAsia="zh-CN" w:bidi="ar"/>
        </w:rPr>
        <w:t>根据《中华人民共和国政府信息公开条例》《中华人民共和国政府信息公开工作年度报告格式》要求，广陵街道</w:t>
      </w:r>
      <w:r>
        <w:rPr>
          <w:rFonts w:hint="eastAsia" w:ascii="仿宋" w:hAnsi="仿宋" w:eastAsia="仿宋" w:cs="仿宋"/>
          <w:i w:val="0"/>
          <w:iCs w:val="0"/>
          <w:caps w:val="0"/>
          <w:color w:val="333333"/>
          <w:spacing w:val="0"/>
          <w:kern w:val="0"/>
          <w:sz w:val="32"/>
          <w:szCs w:val="32"/>
          <w:shd w:val="clear" w:fill="FFFFFF"/>
          <w:lang w:val="en-US" w:eastAsia="zh-CN" w:bidi="ar"/>
        </w:rPr>
        <w:t>编制了2023年政府信息公开工作年度报告。报告全文包括总体情况、主动公开政府信息情况、收到和处理政府信息公开申请情况、政府信息公开行政复议和行政诉讼情况、存在的</w:t>
      </w:r>
      <w:bookmarkStart w:id="0" w:name="_GoBack"/>
      <w:bookmarkEnd w:id="0"/>
      <w:r>
        <w:rPr>
          <w:rFonts w:hint="eastAsia" w:ascii="仿宋" w:hAnsi="仿宋" w:eastAsia="仿宋" w:cs="仿宋"/>
          <w:i w:val="0"/>
          <w:iCs w:val="0"/>
          <w:caps w:val="0"/>
          <w:color w:val="333333"/>
          <w:spacing w:val="0"/>
          <w:kern w:val="0"/>
          <w:sz w:val="32"/>
          <w:szCs w:val="32"/>
          <w:shd w:val="clear" w:fill="FFFFFF"/>
          <w:lang w:val="en-US" w:eastAsia="zh-CN" w:bidi="ar"/>
        </w:rPr>
        <w:t>主要问题及改进情况、其他需要报告的事项。</w:t>
      </w:r>
      <w:r>
        <w:rPr>
          <w:rFonts w:hint="eastAsia" w:ascii="仿宋" w:hAnsi="仿宋" w:eastAsia="仿宋" w:cs="仿宋"/>
          <w:i w:val="0"/>
          <w:iCs w:val="0"/>
          <w:caps w:val="0"/>
          <w:color w:val="333333"/>
          <w:spacing w:val="0"/>
          <w:kern w:val="0"/>
          <w:sz w:val="32"/>
          <w:szCs w:val="32"/>
          <w:shd w:val="clear" w:fill="F8F8F8"/>
          <w:lang w:val="en-US" w:eastAsia="zh-CN" w:bidi="ar"/>
        </w:rPr>
        <w:t>本年度报告中使用数据统计期限为2023年1月1日至2023年12月31日。若对本报告有疑问，请与广陵街道办公室联系（地址：天长市广陵街道办事处，电话：0550-2609001）。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right="0"/>
        <w:jc w:val="both"/>
        <w:rPr>
          <w:rFonts w:hint="eastAsia" w:ascii="黑体" w:hAnsi="宋体" w:eastAsia="黑体" w:cs="黑体"/>
          <w:i w:val="0"/>
          <w:iCs w:val="0"/>
          <w:caps w:val="0"/>
          <w:color w:val="333333"/>
          <w:spacing w:val="0"/>
          <w:kern w:val="0"/>
          <w:sz w:val="32"/>
          <w:szCs w:val="32"/>
          <w:shd w:val="clear" w:fill="F8F8F8"/>
          <w:lang w:val="en-US" w:eastAsia="zh-CN" w:bidi="ar"/>
        </w:rPr>
      </w:pPr>
      <w:r>
        <w:rPr>
          <w:rFonts w:hint="eastAsia" w:ascii="黑体" w:hAnsi="宋体" w:eastAsia="黑体" w:cs="黑体"/>
          <w:i w:val="0"/>
          <w:iCs w:val="0"/>
          <w:caps w:val="0"/>
          <w:color w:val="333333"/>
          <w:spacing w:val="0"/>
          <w:kern w:val="0"/>
          <w:sz w:val="32"/>
          <w:szCs w:val="32"/>
          <w:shd w:val="clear" w:fill="F8F8F8"/>
          <w:lang w:val="en-US" w:eastAsia="zh-CN" w:bidi="ar"/>
        </w:rPr>
        <w:t>一、信息公开工作总体情况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 2023年，我街道信息公开工作坚持以习近平新时代中国特色社会主义思想为指导，深入学习贯彻落实党的二十大精神，坚定拥护“两个确立”，坚决做到“两个维护”，深化政务公开，加快转变政府职能，更好发挥以公开促落实、强监管功能，大力推进决策、执行、管理、服务、结果公开，推动政府决策和管理服务更加透明规范，建设法治型政府、透明型政府、服务型政府，为服务和推动广陵经济社会高质量发展提供有力保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562"/>
        <w:jc w:val="both"/>
        <w:rPr>
          <w:rFonts w:hint="eastAsia" w:ascii="仿宋" w:hAnsi="仿宋" w:eastAsia="仿宋" w:cs="仿宋"/>
          <w:i w:val="0"/>
          <w:iCs w:val="0"/>
          <w:caps w:val="0"/>
          <w:color w:val="333333"/>
          <w:spacing w:val="0"/>
          <w:sz w:val="32"/>
          <w:szCs w:val="32"/>
        </w:rPr>
      </w:pPr>
      <w:r>
        <w:rPr>
          <w:rFonts w:hint="eastAsia" w:ascii="仿宋" w:hAnsi="仿宋" w:eastAsia="仿宋" w:cs="仿宋"/>
          <w:b/>
          <w:bCs/>
          <w:i w:val="0"/>
          <w:iCs w:val="0"/>
          <w:caps w:val="0"/>
          <w:color w:val="333333"/>
          <w:spacing w:val="0"/>
          <w:kern w:val="0"/>
          <w:sz w:val="32"/>
          <w:szCs w:val="32"/>
          <w:shd w:val="clear" w:fill="F8F8F8"/>
          <w:lang w:val="en-US" w:eastAsia="zh-CN" w:bidi="ar"/>
        </w:rPr>
        <w:t>（一）主动公开政府信息情况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64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8F8F8"/>
        </w:rPr>
        <w:t>1.围绕群众需求，加强主动公开。面对群众需求多样化、环境复杂化的情况，街道积极主动回应群众关切，加强民生领域信息公开。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56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8F8F8"/>
        </w:rPr>
        <w:t>2.聚焦重点工作</w:t>
      </w:r>
      <w:r>
        <w:rPr>
          <w:rFonts w:hint="eastAsia" w:ascii="仿宋" w:hAnsi="仿宋" w:eastAsia="仿宋" w:cs="仿宋"/>
          <w:i w:val="0"/>
          <w:iCs w:val="0"/>
          <w:caps w:val="0"/>
          <w:color w:val="333333"/>
          <w:spacing w:val="0"/>
          <w:sz w:val="32"/>
          <w:szCs w:val="32"/>
          <w:shd w:val="clear" w:fill="F8F8F8"/>
          <w:lang w:eastAsia="zh-CN"/>
        </w:rPr>
        <w:t>。</w:t>
      </w:r>
      <w:r>
        <w:rPr>
          <w:rFonts w:hint="eastAsia" w:ascii="仿宋" w:hAnsi="仿宋" w:eastAsia="仿宋" w:cs="仿宋"/>
          <w:i w:val="0"/>
          <w:iCs w:val="0"/>
          <w:caps w:val="0"/>
          <w:color w:val="333333"/>
          <w:spacing w:val="0"/>
          <w:kern w:val="0"/>
          <w:sz w:val="32"/>
          <w:szCs w:val="32"/>
          <w:shd w:val="clear" w:fill="F8F8F8"/>
          <w:lang w:val="en-US" w:eastAsia="zh-CN" w:bidi="ar"/>
        </w:rPr>
        <w:t>2023年我街道积极做好主动公开工作，全年累计主动公开政府信息380条，内容涵盖政策文件、政府领导、机构职能、决策公开、政策解读、国民经济和社会发展规划、国民经济和社会发展统计信息、行政权力、财政专项资金、应急管理、政府工作报告、政府会议、建议提案办理、回应关切、监督保障等栏目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640"/>
        <w:jc w:val="both"/>
        <w:rPr>
          <w:rFonts w:hint="eastAsia" w:ascii="仿宋" w:hAnsi="仿宋" w:eastAsia="仿宋" w:cs="仿宋"/>
          <w:i w:val="0"/>
          <w:iCs w:val="0"/>
          <w:caps w:val="0"/>
          <w:color w:val="333333"/>
          <w:spacing w:val="0"/>
          <w:kern w:val="0"/>
          <w:sz w:val="32"/>
          <w:szCs w:val="32"/>
          <w:shd w:val="clear" w:fill="F8F8F8"/>
          <w:lang w:val="en-US" w:eastAsia="zh-CN" w:bidi="ar"/>
        </w:rPr>
      </w:pPr>
      <w:r>
        <w:rPr>
          <w:rFonts w:hint="eastAsia" w:ascii="仿宋" w:hAnsi="仿宋" w:eastAsia="仿宋" w:cs="仿宋"/>
          <w:i w:val="0"/>
          <w:iCs w:val="0"/>
          <w:caps w:val="0"/>
          <w:color w:val="333333"/>
          <w:spacing w:val="0"/>
          <w:sz w:val="32"/>
          <w:szCs w:val="32"/>
          <w:shd w:val="clear" w:fill="F8F8F8"/>
        </w:rPr>
        <w:t>3.创新政策解读，优化村务公开。街道采用视频、图文等多种创新方式，进一步提升解读质量。开设1</w:t>
      </w:r>
      <w:r>
        <w:rPr>
          <w:rFonts w:hint="eastAsia" w:ascii="仿宋" w:hAnsi="仿宋" w:eastAsia="仿宋" w:cs="仿宋"/>
          <w:i w:val="0"/>
          <w:iCs w:val="0"/>
          <w:caps w:val="0"/>
          <w:color w:val="333333"/>
          <w:spacing w:val="0"/>
          <w:sz w:val="32"/>
          <w:szCs w:val="32"/>
          <w:shd w:val="clear" w:fill="F8F8F8"/>
          <w:lang w:val="en-US" w:eastAsia="zh-CN"/>
        </w:rPr>
        <w:t>3</w:t>
      </w:r>
      <w:r>
        <w:rPr>
          <w:rFonts w:hint="eastAsia" w:ascii="仿宋" w:hAnsi="仿宋" w:eastAsia="仿宋" w:cs="仿宋"/>
          <w:i w:val="0"/>
          <w:iCs w:val="0"/>
          <w:caps w:val="0"/>
          <w:color w:val="333333"/>
          <w:spacing w:val="0"/>
          <w:sz w:val="32"/>
          <w:szCs w:val="32"/>
          <w:shd w:val="clear" w:fill="F8F8F8"/>
        </w:rPr>
        <w:t>个社区（村）村务“公开栏”和查询点，推动政府信息线上线下同步公开。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562"/>
        <w:jc w:val="both"/>
        <w:rPr>
          <w:rFonts w:hint="eastAsia" w:ascii="仿宋" w:hAnsi="仿宋" w:eastAsia="仿宋" w:cs="仿宋"/>
          <w:i w:val="0"/>
          <w:iCs w:val="0"/>
          <w:caps w:val="0"/>
          <w:color w:val="333333"/>
          <w:spacing w:val="0"/>
          <w:sz w:val="32"/>
          <w:szCs w:val="32"/>
        </w:rPr>
      </w:pPr>
      <w:r>
        <w:rPr>
          <w:rFonts w:hint="eastAsia" w:ascii="仿宋" w:hAnsi="仿宋" w:eastAsia="仿宋" w:cs="仿宋"/>
          <w:b/>
          <w:bCs/>
          <w:i w:val="0"/>
          <w:iCs w:val="0"/>
          <w:caps w:val="0"/>
          <w:color w:val="333333"/>
          <w:spacing w:val="0"/>
          <w:kern w:val="0"/>
          <w:sz w:val="32"/>
          <w:szCs w:val="32"/>
          <w:shd w:val="clear" w:fill="F8F8F8"/>
          <w:lang w:val="en-US" w:eastAsia="zh-CN" w:bidi="ar"/>
        </w:rPr>
        <w:t>（二）依申请公开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56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shd w:val="clear" w:fill="F8F8F8"/>
          <w:lang w:val="en-US" w:eastAsia="zh-CN" w:bidi="ar"/>
        </w:rPr>
        <w:t>我街道全年共收到政府信息公开申请2件，其中，网上申请2件，所有申请均在规定时间内按照要求完成答复。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562"/>
        <w:jc w:val="both"/>
        <w:rPr>
          <w:rFonts w:hint="eastAsia" w:ascii="仿宋" w:hAnsi="仿宋" w:eastAsia="仿宋" w:cs="仿宋"/>
          <w:i w:val="0"/>
          <w:iCs w:val="0"/>
          <w:caps w:val="0"/>
          <w:color w:val="333333"/>
          <w:spacing w:val="0"/>
          <w:sz w:val="32"/>
          <w:szCs w:val="32"/>
        </w:rPr>
      </w:pPr>
      <w:r>
        <w:rPr>
          <w:rFonts w:hint="eastAsia" w:ascii="仿宋" w:hAnsi="仿宋" w:eastAsia="仿宋" w:cs="仿宋"/>
          <w:b/>
          <w:bCs/>
          <w:i w:val="0"/>
          <w:iCs w:val="0"/>
          <w:caps w:val="0"/>
          <w:color w:val="333333"/>
          <w:spacing w:val="0"/>
          <w:kern w:val="0"/>
          <w:sz w:val="32"/>
          <w:szCs w:val="32"/>
          <w:shd w:val="clear" w:fill="F8F8F8"/>
          <w:lang w:val="en-US" w:eastAsia="zh-CN" w:bidi="ar"/>
        </w:rPr>
        <w:t>（三）政府信息管理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562"/>
        <w:jc w:val="both"/>
        <w:rPr>
          <w:rFonts w:hint="eastAsia" w:ascii="仿宋" w:hAnsi="仿宋" w:eastAsia="仿宋" w:cs="仿宋"/>
          <w:i w:val="0"/>
          <w:iCs w:val="0"/>
          <w:caps w:val="0"/>
          <w:color w:val="333333"/>
          <w:spacing w:val="0"/>
          <w:kern w:val="0"/>
          <w:sz w:val="32"/>
          <w:szCs w:val="32"/>
          <w:shd w:val="clear" w:fill="FFFFFF"/>
          <w:lang w:val="en-US" w:eastAsia="zh-CN" w:bidi="ar"/>
        </w:rPr>
      </w:pPr>
      <w:r>
        <w:rPr>
          <w:rFonts w:hint="eastAsia" w:ascii="仿宋" w:hAnsi="仿宋" w:eastAsia="仿宋" w:cs="仿宋"/>
          <w:i w:val="0"/>
          <w:iCs w:val="0"/>
          <w:caps w:val="0"/>
          <w:color w:val="333333"/>
          <w:spacing w:val="0"/>
          <w:kern w:val="0"/>
          <w:sz w:val="32"/>
          <w:szCs w:val="32"/>
          <w:shd w:val="clear" w:fill="FFFFFF"/>
          <w:lang w:val="en-US" w:eastAsia="zh-CN" w:bidi="ar"/>
        </w:rPr>
        <w:t>我街道严格按照政府信息公开的具体内容、方式和程序，明确标明信息公开选项，拟公开的信息，由街道相关部门依照有关法律法规和相关规定进行政府信息公开保密审查，进一步规范了政务信息公开工作保密审查的程序和范围，严格落实信息发布“三审三较”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562"/>
        <w:jc w:val="both"/>
        <w:rPr>
          <w:rFonts w:hint="eastAsia" w:ascii="仿宋" w:hAnsi="仿宋" w:eastAsia="仿宋" w:cs="仿宋"/>
          <w:i w:val="0"/>
          <w:iCs w:val="0"/>
          <w:caps w:val="0"/>
          <w:color w:val="333333"/>
          <w:spacing w:val="0"/>
          <w:sz w:val="32"/>
          <w:szCs w:val="32"/>
        </w:rPr>
      </w:pPr>
      <w:r>
        <w:rPr>
          <w:rFonts w:hint="eastAsia" w:ascii="仿宋" w:hAnsi="仿宋" w:eastAsia="仿宋" w:cs="仿宋"/>
          <w:b/>
          <w:bCs/>
          <w:i w:val="0"/>
          <w:iCs w:val="0"/>
          <w:caps w:val="0"/>
          <w:color w:val="333333"/>
          <w:spacing w:val="0"/>
          <w:kern w:val="0"/>
          <w:sz w:val="32"/>
          <w:szCs w:val="32"/>
          <w:shd w:val="clear" w:fill="F8F8F8"/>
          <w:lang w:val="en-US" w:eastAsia="zh-CN" w:bidi="ar"/>
        </w:rPr>
        <w:t>（四）政府信息公开平台的建设情况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全面落实政府信息公开平台建设相关工作，进一步优化政府信息公开专栏设置，及时发布我街道信息公开工作有关内容，规范“两化”专题建设，建立村（社区）信息公开栏目。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562"/>
        <w:jc w:val="both"/>
        <w:rPr>
          <w:rFonts w:hint="eastAsia" w:ascii="仿宋" w:hAnsi="仿宋" w:eastAsia="仿宋" w:cs="仿宋"/>
          <w:i w:val="0"/>
          <w:iCs w:val="0"/>
          <w:caps w:val="0"/>
          <w:color w:val="333333"/>
          <w:spacing w:val="0"/>
          <w:sz w:val="32"/>
          <w:szCs w:val="32"/>
        </w:rPr>
      </w:pPr>
      <w:r>
        <w:rPr>
          <w:rFonts w:hint="eastAsia" w:ascii="仿宋" w:hAnsi="仿宋" w:eastAsia="仿宋" w:cs="仿宋"/>
          <w:b/>
          <w:bCs/>
          <w:i w:val="0"/>
          <w:iCs w:val="0"/>
          <w:caps w:val="0"/>
          <w:color w:val="333333"/>
          <w:spacing w:val="0"/>
          <w:kern w:val="0"/>
          <w:sz w:val="32"/>
          <w:szCs w:val="32"/>
          <w:shd w:val="clear" w:fill="F8F8F8"/>
          <w:lang w:val="en-US" w:eastAsia="zh-CN" w:bidi="ar"/>
        </w:rPr>
        <w:t>（五）监督保障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640" w:firstLineChars="200"/>
        <w:jc w:val="both"/>
        <w:rPr>
          <w:rFonts w:hint="eastAsia" w:ascii="仿宋" w:hAnsi="仿宋" w:eastAsia="仿宋" w:cs="仿宋"/>
          <w:i w:val="0"/>
          <w:iCs w:val="0"/>
          <w:caps w:val="0"/>
          <w:color w:val="333333"/>
          <w:spacing w:val="0"/>
          <w:kern w:val="0"/>
          <w:sz w:val="32"/>
          <w:szCs w:val="32"/>
          <w:shd w:val="clear" w:fill="FFFFFF"/>
          <w:lang w:val="en-US" w:eastAsia="zh-CN" w:bidi="ar"/>
        </w:rPr>
      </w:pPr>
      <w:r>
        <w:rPr>
          <w:rFonts w:hint="eastAsia" w:ascii="仿宋" w:hAnsi="仿宋" w:eastAsia="仿宋" w:cs="仿宋"/>
          <w:i w:val="0"/>
          <w:iCs w:val="0"/>
          <w:caps w:val="0"/>
          <w:color w:val="333333"/>
          <w:spacing w:val="0"/>
          <w:kern w:val="0"/>
          <w:sz w:val="32"/>
          <w:szCs w:val="32"/>
          <w:shd w:val="clear" w:fill="FFFFFF"/>
          <w:lang w:val="en-US" w:eastAsia="zh-CN" w:bidi="ar"/>
        </w:rPr>
        <w:t>根据政府网站管理要求，落实分管领导直接抓，明确网站管理人员，多部门联动，确保信息来源的真实性和准确性。积极参与上级部门组织的业务培训会，认真对第三方测评反馈问题和市政府网站内容监测结果进行整改，分析出错原因，后续工作着重审核，高度重视政务公开考核工作，严格按照上级工作制度要求，开放监督渠道，主动接受社会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right="0"/>
        <w:jc w:val="both"/>
        <w:rPr>
          <w:rFonts w:hint="eastAsia" w:ascii="宋体" w:hAnsi="宋体" w:eastAsia="宋体" w:cs="宋体"/>
          <w:i w:val="0"/>
          <w:iCs w:val="0"/>
          <w:caps w:val="0"/>
          <w:color w:val="333333"/>
          <w:spacing w:val="0"/>
          <w:sz w:val="24"/>
          <w:szCs w:val="24"/>
        </w:rPr>
      </w:pPr>
      <w:r>
        <w:rPr>
          <w:rFonts w:hint="eastAsia" w:ascii="黑体" w:hAnsi="宋体" w:eastAsia="黑体" w:cs="黑体"/>
          <w:i w:val="0"/>
          <w:iCs w:val="0"/>
          <w:caps w:val="0"/>
          <w:color w:val="333333"/>
          <w:spacing w:val="0"/>
          <w:kern w:val="0"/>
          <w:sz w:val="32"/>
          <w:szCs w:val="32"/>
          <w:shd w:val="clear" w:fill="F8F8F8"/>
          <w:lang w:val="en-US" w:eastAsia="zh-CN" w:bidi="ar"/>
        </w:rPr>
        <w:t>二、主动公开政府信息情况</w:t>
      </w:r>
    </w:p>
    <w:tbl>
      <w:tblPr>
        <w:tblStyle w:val="4"/>
        <w:tblW w:w="973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433"/>
        <w:gridCol w:w="2434"/>
        <w:gridCol w:w="2434"/>
        <w:gridCol w:w="24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color w:val="000000"/>
                <w:sz w:val="20"/>
                <w:szCs w:val="20"/>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color w:val="000000"/>
                <w:sz w:val="20"/>
                <w:szCs w:val="20"/>
              </w:rPr>
              <w:t>信息内容</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color w:val="000000"/>
                <w:sz w:val="20"/>
                <w:szCs w:val="20"/>
              </w:rPr>
              <w:t>本年</w:t>
            </w:r>
            <w:r>
              <w:rPr>
                <w:rFonts w:hint="eastAsia" w:ascii="宋体" w:hAnsi="宋体" w:eastAsia="宋体" w:cs="宋体"/>
                <w:sz w:val="20"/>
                <w:szCs w:val="20"/>
              </w:rPr>
              <w:t>制发件数</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color w:val="000000"/>
                <w:sz w:val="20"/>
                <w:szCs w:val="20"/>
              </w:rPr>
              <w:t>本年废止件数</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color w:val="000000"/>
                <w:sz w:val="20"/>
                <w:szCs w:val="20"/>
              </w:rPr>
              <w:t>现行有效件</w:t>
            </w:r>
            <w:r>
              <w:rPr>
                <w:rFonts w:hint="eastAsia" w:ascii="宋体" w:hAnsi="宋体" w:eastAsia="宋体" w:cs="宋体"/>
                <w:sz w:val="20"/>
                <w:szCs w:val="20"/>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color w:val="000000"/>
                <w:sz w:val="20"/>
                <w:szCs w:val="20"/>
              </w:rPr>
              <w:t>规章</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ascii="Calibri" w:hAnsi="Calibri" w:cs="Calibri"/>
                <w:sz w:val="20"/>
                <w:szCs w:val="20"/>
              </w:rPr>
              <w:t>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color w:val="000000"/>
                <w:sz w:val="20"/>
                <w:szCs w:val="20"/>
              </w:rPr>
              <w:t>行政规范性文件</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sz w:val="20"/>
                <w:szCs w:val="20"/>
              </w:rPr>
              <w:t>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color w:val="000000"/>
                <w:sz w:val="20"/>
                <w:szCs w:val="20"/>
              </w:rPr>
              <w:t>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color w:val="000000"/>
                <w:sz w:val="20"/>
                <w:szCs w:val="20"/>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color w:val="000000"/>
                <w:sz w:val="20"/>
                <w:szCs w:val="20"/>
              </w:rPr>
              <w:t>信息内容</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color w:val="000000"/>
                <w:sz w:val="20"/>
                <w:szCs w:val="20"/>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color w:val="000000"/>
                <w:sz w:val="20"/>
                <w:szCs w:val="20"/>
              </w:rPr>
              <w:t>行政许可</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color w:val="000000"/>
                <w:sz w:val="20"/>
                <w:szCs w:val="20"/>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color w:val="000000"/>
                <w:sz w:val="20"/>
                <w:szCs w:val="20"/>
              </w:rPr>
              <w:t>信息内容</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color w:val="000000"/>
                <w:sz w:val="20"/>
                <w:szCs w:val="20"/>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color w:val="000000"/>
                <w:sz w:val="20"/>
                <w:szCs w:val="20"/>
              </w:rPr>
              <w:t>行政处罚</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color w:val="00000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color w:val="000000"/>
                <w:sz w:val="20"/>
                <w:szCs w:val="20"/>
              </w:rPr>
              <w:t>行政强制</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color w:val="00000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color w:val="000000"/>
                <w:sz w:val="20"/>
                <w:szCs w:val="20"/>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color w:val="000000"/>
                <w:sz w:val="20"/>
                <w:szCs w:val="20"/>
              </w:rPr>
              <w:t>信息内容</w:t>
            </w:r>
          </w:p>
        </w:tc>
        <w:tc>
          <w:tcPr>
            <w:tcW w:w="7305" w:type="dxa"/>
            <w:gridSpan w:val="3"/>
            <w:tcBorders>
              <w:top w:val="nil"/>
              <w:left w:val="nil"/>
              <w:bottom w:val="single" w:color="auto" w:sz="8" w:space="0"/>
              <w:right w:val="single" w:color="000000"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color w:val="000000"/>
                <w:sz w:val="20"/>
                <w:szCs w:val="20"/>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color w:val="000000"/>
                <w:sz w:val="20"/>
                <w:szCs w:val="20"/>
              </w:rPr>
              <w:t>行政事业性收费</w:t>
            </w:r>
          </w:p>
        </w:tc>
        <w:tc>
          <w:tcPr>
            <w:tcW w:w="7305" w:type="dxa"/>
            <w:gridSpan w:val="3"/>
            <w:tcBorders>
              <w:top w:val="nil"/>
              <w:left w:val="nil"/>
              <w:bottom w:val="single" w:color="auto" w:sz="8" w:space="0"/>
              <w:right w:val="single" w:color="000000"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4"/>
                <w:szCs w:val="24"/>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0"/>
        <w:jc w:val="both"/>
        <w:rPr>
          <w:rFonts w:hint="eastAsia" w:ascii="黑体" w:hAnsi="宋体" w:eastAsia="黑体" w:cs="黑体"/>
          <w:i w:val="0"/>
          <w:iCs w:val="0"/>
          <w:caps w:val="0"/>
          <w:color w:val="333333"/>
          <w:spacing w:val="0"/>
          <w:kern w:val="0"/>
          <w:sz w:val="32"/>
          <w:szCs w:val="32"/>
          <w:shd w:val="clear" w:fill="F8F8F8"/>
          <w:lang w:val="en-US" w:eastAsia="zh-CN" w:bidi="ar"/>
        </w:rPr>
      </w:pPr>
      <w:r>
        <w:rPr>
          <w:rFonts w:hint="eastAsia" w:ascii="黑体" w:hAnsi="宋体" w:eastAsia="黑体" w:cs="黑体"/>
          <w:i w:val="0"/>
          <w:iCs w:val="0"/>
          <w:caps w:val="0"/>
          <w:color w:val="333333"/>
          <w:spacing w:val="0"/>
          <w:kern w:val="0"/>
          <w:sz w:val="32"/>
          <w:szCs w:val="32"/>
          <w:shd w:val="clear" w:fill="F8F8F8"/>
          <w:lang w:val="en-US" w:eastAsia="zh-CN" w:bidi="ar"/>
        </w:rPr>
        <w:t>三、收到和处理政府信息公开申请情况</w:t>
      </w:r>
    </w:p>
    <w:tbl>
      <w:tblPr>
        <w:tblStyle w:val="4"/>
        <w:tblW w:w="975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735"/>
        <w:gridCol w:w="915"/>
        <w:gridCol w:w="2895"/>
        <w:gridCol w:w="675"/>
        <w:gridCol w:w="660"/>
        <w:gridCol w:w="660"/>
        <w:gridCol w:w="675"/>
        <w:gridCol w:w="675"/>
        <w:gridCol w:w="885"/>
        <w:gridCol w:w="9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1" w:hRule="atLeast"/>
          <w:jc w:val="center"/>
        </w:trPr>
        <w:tc>
          <w:tcPr>
            <w:tcW w:w="4425" w:type="dxa"/>
            <w:gridSpan w:val="3"/>
            <w:vMerge w:val="restart"/>
            <w:tcBorders>
              <w:top w:val="single" w:color="auto" w:sz="8" w:space="0"/>
              <w:left w:val="single" w:color="auto" w:sz="8" w:space="0"/>
              <w:bottom w:val="outset"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ascii="楷体" w:hAnsi="楷体" w:eastAsia="楷体" w:cs="楷体"/>
                <w:sz w:val="20"/>
                <w:szCs w:val="20"/>
              </w:rPr>
              <w:t>（本列数据的勾稽关系为：第一项加第二项之和，等于第三项加第四项之和）</w:t>
            </w:r>
          </w:p>
        </w:tc>
        <w:tc>
          <w:tcPr>
            <w:tcW w:w="4995" w:type="dxa"/>
            <w:gridSpan w:val="7"/>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0"/>
                <w:szCs w:val="20"/>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jc w:val="center"/>
        </w:trPr>
        <w:tc>
          <w:tcPr>
            <w:tcW w:w="4425" w:type="dxa"/>
            <w:gridSpan w:val="3"/>
            <w:vMerge w:val="continue"/>
            <w:tcBorders>
              <w:top w:val="single" w:color="auto" w:sz="8" w:space="0"/>
              <w:left w:val="single" w:color="auto" w:sz="8" w:space="0"/>
              <w:bottom w:val="outset"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630" w:type="dxa"/>
            <w:vMerge w:val="restart"/>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0"/>
                <w:szCs w:val="20"/>
              </w:rPr>
              <w:t>自然人</w:t>
            </w:r>
          </w:p>
        </w:tc>
        <w:tc>
          <w:tcPr>
            <w:tcW w:w="3555" w:type="dxa"/>
            <w:gridSpan w:val="5"/>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0"/>
                <w:szCs w:val="20"/>
              </w:rPr>
              <w:t>法人或其他组织</w:t>
            </w:r>
          </w:p>
        </w:tc>
        <w:tc>
          <w:tcPr>
            <w:tcW w:w="630" w:type="dxa"/>
            <w:vMerge w:val="restart"/>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0"/>
                <w:szCs w:val="20"/>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5" w:hRule="atLeast"/>
          <w:jc w:val="center"/>
        </w:trPr>
        <w:tc>
          <w:tcPr>
            <w:tcW w:w="4425" w:type="dxa"/>
            <w:gridSpan w:val="3"/>
            <w:vMerge w:val="continue"/>
            <w:tcBorders>
              <w:top w:val="single" w:color="auto" w:sz="8" w:space="0"/>
              <w:left w:val="single" w:color="auto" w:sz="8" w:space="0"/>
              <w:bottom w:val="outset"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630" w:type="dxa"/>
            <w:vMerge w:val="continue"/>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64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0"/>
                <w:szCs w:val="20"/>
              </w:rPr>
              <w:t>商业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0"/>
                <w:szCs w:val="20"/>
              </w:rPr>
              <w:t>企业</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0"/>
                <w:szCs w:val="20"/>
              </w:rPr>
              <w:t>科研</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0"/>
                <w:szCs w:val="20"/>
              </w:rPr>
              <w:t>机构</w:t>
            </w:r>
          </w:p>
        </w:tc>
        <w:tc>
          <w:tcPr>
            <w:tcW w:w="64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0"/>
                <w:szCs w:val="20"/>
              </w:rPr>
              <w:t>社会公益组织</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0"/>
                <w:szCs w:val="20"/>
              </w:rPr>
              <w:t>法律服务机构</w:t>
            </w:r>
          </w:p>
        </w:tc>
        <w:tc>
          <w:tcPr>
            <w:tcW w:w="64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0"/>
                <w:szCs w:val="20"/>
              </w:rPr>
              <w:t>其他</w:t>
            </w:r>
          </w:p>
        </w:tc>
        <w:tc>
          <w:tcPr>
            <w:tcW w:w="630"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jc w:val="center"/>
        </w:trPr>
        <w:tc>
          <w:tcPr>
            <w:tcW w:w="4545" w:type="dxa"/>
            <w:gridSpan w:val="3"/>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sz w:val="20"/>
                <w:szCs w:val="20"/>
              </w:rPr>
              <w:t>一、本年新收政府信息公开申请数量</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eastAsiaTheme="minorEastAsia"/>
                <w:lang w:eastAsia="zh-CN"/>
              </w:rPr>
            </w:pPr>
            <w:r>
              <w:rPr>
                <w:rFonts w:hint="eastAsia" w:ascii="Calibri" w:hAnsi="Calibri" w:cs="Calibri"/>
                <w:sz w:val="20"/>
                <w:szCs w:val="20"/>
                <w:lang w:val="en-US" w:eastAsia="zh-CN"/>
              </w:rPr>
              <w:t>2</w:t>
            </w:r>
          </w:p>
        </w:tc>
        <w:tc>
          <w:tcPr>
            <w:tcW w:w="64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w:t>
            </w:r>
          </w:p>
        </w:tc>
        <w:tc>
          <w:tcPr>
            <w:tcW w:w="64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w:t>
            </w:r>
          </w:p>
        </w:tc>
        <w:tc>
          <w:tcPr>
            <w:tcW w:w="64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 </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eastAsiaTheme="minorEastAsia"/>
                <w:lang w:eastAsia="zh-CN"/>
              </w:rPr>
            </w:pPr>
            <w:r>
              <w:rPr>
                <w:rFonts w:hint="default" w:ascii="Calibri" w:hAnsi="Calibri" w:cs="Calibri"/>
                <w:sz w:val="20"/>
                <w:szCs w:val="20"/>
              </w:rPr>
              <w:t> </w:t>
            </w:r>
            <w:r>
              <w:rPr>
                <w:rFonts w:hint="eastAsia" w:ascii="Calibri" w:hAnsi="Calibri" w:cs="Calibri"/>
                <w:sz w:val="20"/>
                <w:szCs w:val="20"/>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jc w:val="center"/>
        </w:trPr>
        <w:tc>
          <w:tcPr>
            <w:tcW w:w="4545" w:type="dxa"/>
            <w:gridSpan w:val="3"/>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sz w:val="20"/>
                <w:szCs w:val="20"/>
              </w:rPr>
              <w:t>二、上年结转政府信息公开申请数量</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w:t>
            </w:r>
          </w:p>
        </w:tc>
        <w:tc>
          <w:tcPr>
            <w:tcW w:w="64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w:t>
            </w:r>
          </w:p>
        </w:tc>
        <w:tc>
          <w:tcPr>
            <w:tcW w:w="64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w:t>
            </w:r>
          </w:p>
        </w:tc>
        <w:tc>
          <w:tcPr>
            <w:tcW w:w="64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jc w:val="center"/>
        </w:trPr>
        <w:tc>
          <w:tcPr>
            <w:tcW w:w="735" w:type="dxa"/>
            <w:vMerge w:val="restart"/>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sz w:val="20"/>
                <w:szCs w:val="20"/>
              </w:rPr>
              <w:t>三、本年度办理结果</w:t>
            </w:r>
          </w:p>
        </w:tc>
        <w:tc>
          <w:tcPr>
            <w:tcW w:w="3735" w:type="dxa"/>
            <w:gridSpan w:val="2"/>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sz w:val="20"/>
                <w:szCs w:val="20"/>
              </w:rPr>
              <w:t>（一）予以公开</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Calibri" w:hAnsi="Calibri" w:cs="Calibri"/>
                <w:sz w:val="20"/>
                <w:szCs w:val="20"/>
                <w:lang w:val="en-US" w:eastAsia="zh-CN"/>
              </w:rPr>
              <w:t>2</w:t>
            </w:r>
          </w:p>
        </w:tc>
        <w:tc>
          <w:tcPr>
            <w:tcW w:w="64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w:t>
            </w:r>
          </w:p>
        </w:tc>
        <w:tc>
          <w:tcPr>
            <w:tcW w:w="66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w:t>
            </w:r>
          </w:p>
        </w:tc>
        <w:tc>
          <w:tcPr>
            <w:tcW w:w="64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w:t>
            </w:r>
            <w:r>
              <w:rPr>
                <w:rFonts w:hint="eastAsia" w:ascii="Calibri" w:hAnsi="Calibri" w:cs="Calibri"/>
                <w:sz w:val="20"/>
                <w:szCs w:val="20"/>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65" w:hRule="atLeast"/>
          <w:jc w:val="center"/>
        </w:trPr>
        <w:tc>
          <w:tcPr>
            <w:tcW w:w="73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3735" w:type="dxa"/>
            <w:gridSpan w:val="2"/>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sz w:val="20"/>
                <w:szCs w:val="20"/>
              </w:rPr>
              <w:t>（二）部分公开</w:t>
            </w:r>
            <w:r>
              <w:rPr>
                <w:rFonts w:hint="eastAsia" w:ascii="楷体" w:hAnsi="楷体" w:eastAsia="楷体" w:cs="楷体"/>
                <w:sz w:val="20"/>
                <w:szCs w:val="20"/>
              </w:rPr>
              <w:t>（区分处理的，只计这一情形，不计其他情形）</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w:t>
            </w:r>
          </w:p>
        </w:tc>
        <w:tc>
          <w:tcPr>
            <w:tcW w:w="64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w:t>
            </w:r>
          </w:p>
        </w:tc>
        <w:tc>
          <w:tcPr>
            <w:tcW w:w="66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 </w:t>
            </w:r>
          </w:p>
        </w:tc>
        <w:tc>
          <w:tcPr>
            <w:tcW w:w="64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1" w:hRule="atLeast"/>
          <w:jc w:val="center"/>
        </w:trPr>
        <w:tc>
          <w:tcPr>
            <w:tcW w:w="73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15" w:type="dxa"/>
            <w:vMerge w:val="restart"/>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sz w:val="20"/>
                <w:szCs w:val="20"/>
              </w:rPr>
              <w:t>（三）不予公开</w:t>
            </w:r>
          </w:p>
        </w:tc>
        <w:tc>
          <w:tcPr>
            <w:tcW w:w="27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sz w:val="20"/>
                <w:szCs w:val="20"/>
              </w:rPr>
              <w:t>1.属于国家秘密</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w:t>
            </w:r>
          </w:p>
        </w:tc>
        <w:tc>
          <w:tcPr>
            <w:tcW w:w="64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w:t>
            </w:r>
          </w:p>
        </w:tc>
        <w:tc>
          <w:tcPr>
            <w:tcW w:w="66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w:t>
            </w:r>
          </w:p>
        </w:tc>
        <w:tc>
          <w:tcPr>
            <w:tcW w:w="64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jc w:val="center"/>
        </w:trPr>
        <w:tc>
          <w:tcPr>
            <w:tcW w:w="73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15"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27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sz w:val="20"/>
                <w:szCs w:val="20"/>
              </w:rPr>
              <w:t>2.其他法律行政法规禁止公开</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w:t>
            </w:r>
          </w:p>
        </w:tc>
        <w:tc>
          <w:tcPr>
            <w:tcW w:w="64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w:t>
            </w:r>
          </w:p>
        </w:tc>
        <w:tc>
          <w:tcPr>
            <w:tcW w:w="66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w:t>
            </w:r>
          </w:p>
        </w:tc>
        <w:tc>
          <w:tcPr>
            <w:tcW w:w="64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jc w:val="center"/>
        </w:trPr>
        <w:tc>
          <w:tcPr>
            <w:tcW w:w="73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15"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27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sz w:val="20"/>
                <w:szCs w:val="20"/>
              </w:rPr>
              <w:t>3.危及“三安全一稳定”</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w:t>
            </w:r>
          </w:p>
        </w:tc>
        <w:tc>
          <w:tcPr>
            <w:tcW w:w="64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w:t>
            </w:r>
          </w:p>
        </w:tc>
        <w:tc>
          <w:tcPr>
            <w:tcW w:w="66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w:t>
            </w:r>
          </w:p>
        </w:tc>
        <w:tc>
          <w:tcPr>
            <w:tcW w:w="64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jc w:val="center"/>
        </w:trPr>
        <w:tc>
          <w:tcPr>
            <w:tcW w:w="73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15"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27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sz w:val="20"/>
                <w:szCs w:val="20"/>
              </w:rPr>
              <w:t>4.保护第三方合法权益</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w:t>
            </w:r>
          </w:p>
        </w:tc>
        <w:tc>
          <w:tcPr>
            <w:tcW w:w="64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 </w:t>
            </w:r>
          </w:p>
        </w:tc>
        <w:tc>
          <w:tcPr>
            <w:tcW w:w="66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 </w:t>
            </w:r>
          </w:p>
        </w:tc>
        <w:tc>
          <w:tcPr>
            <w:tcW w:w="64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1" w:hRule="atLeast"/>
          <w:jc w:val="center"/>
        </w:trPr>
        <w:tc>
          <w:tcPr>
            <w:tcW w:w="73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15"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27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sz w:val="20"/>
                <w:szCs w:val="20"/>
              </w:rPr>
              <w:t>5.属于三类内部事务信息</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w:t>
            </w:r>
          </w:p>
        </w:tc>
        <w:tc>
          <w:tcPr>
            <w:tcW w:w="64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w:t>
            </w:r>
          </w:p>
        </w:tc>
        <w:tc>
          <w:tcPr>
            <w:tcW w:w="66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w:t>
            </w:r>
          </w:p>
        </w:tc>
        <w:tc>
          <w:tcPr>
            <w:tcW w:w="64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 </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1" w:hRule="atLeast"/>
          <w:jc w:val="center"/>
        </w:trPr>
        <w:tc>
          <w:tcPr>
            <w:tcW w:w="73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15"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27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sz w:val="20"/>
                <w:szCs w:val="20"/>
              </w:rPr>
              <w:t>6.属于四类过程性信息</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w:t>
            </w:r>
          </w:p>
        </w:tc>
        <w:tc>
          <w:tcPr>
            <w:tcW w:w="64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w:t>
            </w:r>
          </w:p>
        </w:tc>
        <w:tc>
          <w:tcPr>
            <w:tcW w:w="66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 </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w:t>
            </w:r>
          </w:p>
        </w:tc>
        <w:tc>
          <w:tcPr>
            <w:tcW w:w="64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 </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1" w:hRule="atLeast"/>
          <w:jc w:val="center"/>
        </w:trPr>
        <w:tc>
          <w:tcPr>
            <w:tcW w:w="73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15"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27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sz w:val="20"/>
                <w:szCs w:val="20"/>
              </w:rPr>
              <w:t>7.属于行政执法案卷</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w:t>
            </w:r>
          </w:p>
        </w:tc>
        <w:tc>
          <w:tcPr>
            <w:tcW w:w="64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w:t>
            </w:r>
          </w:p>
        </w:tc>
        <w:tc>
          <w:tcPr>
            <w:tcW w:w="66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 </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w:t>
            </w:r>
          </w:p>
        </w:tc>
        <w:tc>
          <w:tcPr>
            <w:tcW w:w="64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 </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jc w:val="center"/>
        </w:trPr>
        <w:tc>
          <w:tcPr>
            <w:tcW w:w="73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15"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27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sz w:val="20"/>
                <w:szCs w:val="20"/>
              </w:rPr>
              <w:t>8.属于行政查询事项</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w:t>
            </w:r>
            <w:r>
              <w:rPr>
                <w:rFonts w:hint="default" w:ascii="Calibri" w:hAnsi="Calibri" w:eastAsia="宋体" w:cs="Calibri"/>
                <w:sz w:val="20"/>
                <w:szCs w:val="20"/>
              </w:rPr>
              <w:t>0</w:t>
            </w:r>
          </w:p>
        </w:tc>
        <w:tc>
          <w:tcPr>
            <w:tcW w:w="64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 </w:t>
            </w:r>
          </w:p>
        </w:tc>
        <w:tc>
          <w:tcPr>
            <w:tcW w:w="66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 </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w:t>
            </w:r>
          </w:p>
        </w:tc>
        <w:tc>
          <w:tcPr>
            <w:tcW w:w="64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 </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w:t>
            </w:r>
            <w:r>
              <w:rPr>
                <w:rFonts w:hint="default" w:ascii="Calibri" w:hAnsi="Calibri" w:eastAsia="宋体" w:cs="Calibri"/>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jc w:val="center"/>
        </w:trPr>
        <w:tc>
          <w:tcPr>
            <w:tcW w:w="73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15" w:type="dxa"/>
            <w:vMerge w:val="restart"/>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sz w:val="20"/>
                <w:szCs w:val="20"/>
              </w:rPr>
              <w:t>（四）无法提供</w:t>
            </w:r>
          </w:p>
        </w:tc>
        <w:tc>
          <w:tcPr>
            <w:tcW w:w="27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sz w:val="20"/>
                <w:szCs w:val="20"/>
              </w:rPr>
              <w:t>1.本机关不掌握相关政府信息</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eastAsiaTheme="minorEastAsia"/>
                <w:lang w:val="en-US" w:eastAsia="zh-CN"/>
              </w:rPr>
            </w:pPr>
            <w:r>
              <w:rPr>
                <w:rFonts w:hint="default" w:ascii="Calibri" w:hAnsi="Calibri" w:cs="Calibri"/>
                <w:sz w:val="20"/>
                <w:szCs w:val="20"/>
              </w:rPr>
              <w:t>  </w:t>
            </w:r>
            <w:r>
              <w:rPr>
                <w:rFonts w:hint="eastAsia" w:ascii="Calibri" w:hAnsi="Calibri" w:cs="Calibri"/>
                <w:sz w:val="20"/>
                <w:szCs w:val="20"/>
                <w:lang w:val="en-US" w:eastAsia="zh-CN"/>
              </w:rPr>
              <w:t>0</w:t>
            </w:r>
          </w:p>
        </w:tc>
        <w:tc>
          <w:tcPr>
            <w:tcW w:w="64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 </w:t>
            </w:r>
          </w:p>
        </w:tc>
        <w:tc>
          <w:tcPr>
            <w:tcW w:w="66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 </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w:t>
            </w:r>
          </w:p>
        </w:tc>
        <w:tc>
          <w:tcPr>
            <w:tcW w:w="64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eastAsiaTheme="minorEastAsia"/>
                <w:lang w:val="en-US" w:eastAsia="zh-CN"/>
              </w:rPr>
            </w:pPr>
            <w:r>
              <w:rPr>
                <w:rFonts w:hint="default" w:ascii="Calibri" w:hAnsi="Calibri" w:cs="Calibri"/>
                <w:sz w:val="20"/>
                <w:szCs w:val="20"/>
              </w:rPr>
              <w:t> </w:t>
            </w:r>
            <w:r>
              <w:rPr>
                <w:rFonts w:hint="eastAsia" w:ascii="Calibri" w:hAnsi="Calibri" w:cs="Calibri"/>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1" w:hRule="atLeast"/>
          <w:jc w:val="center"/>
        </w:trPr>
        <w:tc>
          <w:tcPr>
            <w:tcW w:w="73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15"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27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sz w:val="20"/>
                <w:szCs w:val="20"/>
              </w:rPr>
              <w:t>2.没有现成信息需要另行制作</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w:t>
            </w:r>
          </w:p>
        </w:tc>
        <w:tc>
          <w:tcPr>
            <w:tcW w:w="64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 </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w:t>
            </w:r>
          </w:p>
        </w:tc>
        <w:tc>
          <w:tcPr>
            <w:tcW w:w="66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 </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w:t>
            </w:r>
          </w:p>
        </w:tc>
        <w:tc>
          <w:tcPr>
            <w:tcW w:w="64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jc w:val="center"/>
        </w:trPr>
        <w:tc>
          <w:tcPr>
            <w:tcW w:w="73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15"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27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sz w:val="20"/>
                <w:szCs w:val="20"/>
              </w:rPr>
              <w:t>3.补正后申请内容仍不明确</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w:t>
            </w:r>
          </w:p>
        </w:tc>
        <w:tc>
          <w:tcPr>
            <w:tcW w:w="64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 </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w:t>
            </w:r>
          </w:p>
        </w:tc>
        <w:tc>
          <w:tcPr>
            <w:tcW w:w="66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w:t>
            </w:r>
          </w:p>
        </w:tc>
        <w:tc>
          <w:tcPr>
            <w:tcW w:w="64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jc w:val="center"/>
        </w:trPr>
        <w:tc>
          <w:tcPr>
            <w:tcW w:w="73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15" w:type="dxa"/>
            <w:vMerge w:val="restart"/>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sz w:val="20"/>
                <w:szCs w:val="20"/>
              </w:rPr>
              <w:t>（五）不予处理</w:t>
            </w:r>
          </w:p>
        </w:tc>
        <w:tc>
          <w:tcPr>
            <w:tcW w:w="27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sz w:val="20"/>
                <w:szCs w:val="20"/>
              </w:rPr>
              <w:t>1.信访举报投诉类申请</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w:t>
            </w:r>
          </w:p>
        </w:tc>
        <w:tc>
          <w:tcPr>
            <w:tcW w:w="64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 </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w:t>
            </w:r>
          </w:p>
        </w:tc>
        <w:tc>
          <w:tcPr>
            <w:tcW w:w="66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w:t>
            </w:r>
          </w:p>
        </w:tc>
        <w:tc>
          <w:tcPr>
            <w:tcW w:w="64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 </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jc w:val="center"/>
        </w:trPr>
        <w:tc>
          <w:tcPr>
            <w:tcW w:w="73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15"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27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sz w:val="20"/>
                <w:szCs w:val="20"/>
              </w:rPr>
              <w:t>2.重复申请</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 </w:t>
            </w:r>
          </w:p>
        </w:tc>
        <w:tc>
          <w:tcPr>
            <w:tcW w:w="64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 </w:t>
            </w:r>
          </w:p>
        </w:tc>
        <w:tc>
          <w:tcPr>
            <w:tcW w:w="66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w:t>
            </w:r>
          </w:p>
        </w:tc>
        <w:tc>
          <w:tcPr>
            <w:tcW w:w="64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 </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jc w:val="center"/>
        </w:trPr>
        <w:tc>
          <w:tcPr>
            <w:tcW w:w="73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15"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27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sz w:val="20"/>
                <w:szCs w:val="20"/>
              </w:rPr>
              <w:t>3.要求提供公开出版物</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w:t>
            </w:r>
          </w:p>
        </w:tc>
        <w:tc>
          <w:tcPr>
            <w:tcW w:w="64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w:t>
            </w:r>
          </w:p>
        </w:tc>
        <w:tc>
          <w:tcPr>
            <w:tcW w:w="66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 </w:t>
            </w:r>
          </w:p>
        </w:tc>
        <w:tc>
          <w:tcPr>
            <w:tcW w:w="64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1" w:hRule="atLeast"/>
          <w:jc w:val="center"/>
        </w:trPr>
        <w:tc>
          <w:tcPr>
            <w:tcW w:w="73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15"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27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sz w:val="20"/>
                <w:szCs w:val="20"/>
              </w:rPr>
              <w:t>4.无正当理由大量反复申请</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w:t>
            </w:r>
          </w:p>
        </w:tc>
        <w:tc>
          <w:tcPr>
            <w:tcW w:w="64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 </w:t>
            </w:r>
          </w:p>
        </w:tc>
        <w:tc>
          <w:tcPr>
            <w:tcW w:w="66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 </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w:t>
            </w:r>
          </w:p>
        </w:tc>
        <w:tc>
          <w:tcPr>
            <w:tcW w:w="64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80" w:hRule="atLeast"/>
          <w:jc w:val="center"/>
        </w:trPr>
        <w:tc>
          <w:tcPr>
            <w:tcW w:w="73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15"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2730"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宋体" w:hAnsi="宋体" w:eastAsia="宋体" w:cs="宋体"/>
                <w:sz w:val="20"/>
                <w:szCs w:val="20"/>
              </w:rPr>
              <w:t>5.要求行政机关确认或重新出具已获取信息</w:t>
            </w:r>
          </w:p>
        </w:tc>
        <w:tc>
          <w:tcPr>
            <w:tcW w:w="630"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w:t>
            </w:r>
          </w:p>
        </w:tc>
        <w:tc>
          <w:tcPr>
            <w:tcW w:w="645"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 </w:t>
            </w:r>
          </w:p>
        </w:tc>
        <w:tc>
          <w:tcPr>
            <w:tcW w:w="630"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w:t>
            </w:r>
          </w:p>
        </w:tc>
        <w:tc>
          <w:tcPr>
            <w:tcW w:w="660"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w:t>
            </w:r>
          </w:p>
        </w:tc>
        <w:tc>
          <w:tcPr>
            <w:tcW w:w="630"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 </w:t>
            </w:r>
          </w:p>
        </w:tc>
        <w:tc>
          <w:tcPr>
            <w:tcW w:w="645"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w:t>
            </w:r>
          </w:p>
        </w:tc>
        <w:tc>
          <w:tcPr>
            <w:tcW w:w="630"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90" w:hRule="atLeast"/>
          <w:jc w:val="center"/>
        </w:trPr>
        <w:tc>
          <w:tcPr>
            <w:tcW w:w="73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15" w:type="dxa"/>
            <w:vMerge w:val="restart"/>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sz w:val="20"/>
                <w:szCs w:val="20"/>
              </w:rPr>
              <w:t>（六）其他处理</w:t>
            </w:r>
          </w:p>
        </w:tc>
        <w:tc>
          <w:tcPr>
            <w:tcW w:w="27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宋体" w:hAnsi="宋体" w:eastAsia="宋体" w:cs="宋体"/>
                <w:sz w:val="20"/>
                <w:szCs w:val="20"/>
              </w:rPr>
              <w:t>1.申请人无正当理由逾期不补正、行政机关不再处理其政府信息公开申请</w:t>
            </w:r>
          </w:p>
        </w:tc>
        <w:tc>
          <w:tcPr>
            <w:tcW w:w="64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w:t>
            </w:r>
          </w:p>
        </w:tc>
        <w:tc>
          <w:tcPr>
            <w:tcW w:w="64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w:t>
            </w:r>
          </w:p>
        </w:tc>
        <w:tc>
          <w:tcPr>
            <w:tcW w:w="64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 </w:t>
            </w:r>
          </w:p>
        </w:tc>
        <w:tc>
          <w:tcPr>
            <w:tcW w:w="64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w:t>
            </w:r>
          </w:p>
        </w:tc>
        <w:tc>
          <w:tcPr>
            <w:tcW w:w="64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90" w:hRule="atLeast"/>
          <w:jc w:val="center"/>
        </w:trPr>
        <w:tc>
          <w:tcPr>
            <w:tcW w:w="73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15"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27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宋体" w:hAnsi="宋体" w:eastAsia="宋体" w:cs="宋体"/>
                <w:sz w:val="20"/>
                <w:szCs w:val="20"/>
              </w:rPr>
              <w:t>2.申请人逾期未按收费通知要求缴纳费用、行政机关不再处理其政府信息公开申请</w:t>
            </w:r>
          </w:p>
        </w:tc>
        <w:tc>
          <w:tcPr>
            <w:tcW w:w="64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 </w:t>
            </w:r>
          </w:p>
        </w:tc>
        <w:tc>
          <w:tcPr>
            <w:tcW w:w="64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 </w:t>
            </w:r>
          </w:p>
        </w:tc>
        <w:tc>
          <w:tcPr>
            <w:tcW w:w="64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w:t>
            </w:r>
          </w:p>
        </w:tc>
        <w:tc>
          <w:tcPr>
            <w:tcW w:w="64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w:t>
            </w:r>
          </w:p>
        </w:tc>
        <w:tc>
          <w:tcPr>
            <w:tcW w:w="64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 </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jc w:val="center"/>
        </w:trPr>
        <w:tc>
          <w:tcPr>
            <w:tcW w:w="73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15"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27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sz w:val="20"/>
                <w:szCs w:val="20"/>
              </w:rPr>
              <w:t>3.其他</w:t>
            </w:r>
          </w:p>
        </w:tc>
        <w:tc>
          <w:tcPr>
            <w:tcW w:w="64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w:t>
            </w:r>
          </w:p>
        </w:tc>
        <w:tc>
          <w:tcPr>
            <w:tcW w:w="64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 </w:t>
            </w:r>
          </w:p>
        </w:tc>
        <w:tc>
          <w:tcPr>
            <w:tcW w:w="64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w:t>
            </w:r>
          </w:p>
        </w:tc>
        <w:tc>
          <w:tcPr>
            <w:tcW w:w="66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 </w:t>
            </w:r>
          </w:p>
        </w:tc>
        <w:tc>
          <w:tcPr>
            <w:tcW w:w="64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w:t>
            </w:r>
          </w:p>
        </w:tc>
        <w:tc>
          <w:tcPr>
            <w:tcW w:w="64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w:t>
            </w:r>
          </w:p>
        </w:tc>
        <w:tc>
          <w:tcPr>
            <w:tcW w:w="64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jc w:val="center"/>
        </w:trPr>
        <w:tc>
          <w:tcPr>
            <w:tcW w:w="73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3660" w:type="dxa"/>
            <w:gridSpan w:val="2"/>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0"/>
                <w:szCs w:val="20"/>
              </w:rPr>
              <w:t>（七）总计</w:t>
            </w:r>
          </w:p>
        </w:tc>
        <w:tc>
          <w:tcPr>
            <w:tcW w:w="64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eastAsiaTheme="minorEastAsia"/>
                <w:lang w:val="en-US" w:eastAsia="zh-CN"/>
              </w:rPr>
            </w:pPr>
            <w:r>
              <w:rPr>
                <w:rFonts w:hint="default" w:ascii="Calibri" w:hAnsi="Calibri" w:cs="Calibri"/>
                <w:sz w:val="20"/>
                <w:szCs w:val="20"/>
              </w:rPr>
              <w:t xml:space="preserve">  </w:t>
            </w:r>
            <w:r>
              <w:rPr>
                <w:rFonts w:hint="eastAsia" w:ascii="Calibri" w:hAnsi="Calibri" w:cs="Calibri"/>
                <w:sz w:val="20"/>
                <w:szCs w:val="20"/>
                <w:lang w:val="en-US" w:eastAsia="zh-CN"/>
              </w:rPr>
              <w:t>2</w:t>
            </w:r>
          </w:p>
        </w:tc>
        <w:tc>
          <w:tcPr>
            <w:tcW w:w="64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 </w:t>
            </w:r>
          </w:p>
        </w:tc>
        <w:tc>
          <w:tcPr>
            <w:tcW w:w="66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w:t>
            </w:r>
          </w:p>
        </w:tc>
        <w:tc>
          <w:tcPr>
            <w:tcW w:w="66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w:t>
            </w:r>
          </w:p>
        </w:tc>
        <w:tc>
          <w:tcPr>
            <w:tcW w:w="64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 </w:t>
            </w:r>
          </w:p>
        </w:tc>
        <w:tc>
          <w:tcPr>
            <w:tcW w:w="66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w:t>
            </w:r>
          </w:p>
        </w:tc>
        <w:tc>
          <w:tcPr>
            <w:tcW w:w="64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eastAsiaTheme="minorEastAsia"/>
                <w:lang w:val="en-US" w:eastAsia="zh-CN"/>
              </w:rPr>
            </w:pPr>
            <w:r>
              <w:rPr>
                <w:rFonts w:hint="default" w:ascii="Calibri" w:hAnsi="Calibri" w:cs="Calibri"/>
                <w:sz w:val="20"/>
                <w:szCs w:val="20"/>
              </w:rPr>
              <w:t> </w:t>
            </w:r>
            <w:r>
              <w:rPr>
                <w:rFonts w:hint="eastAsia" w:ascii="Calibri" w:hAnsi="Calibri" w:cs="Calibri"/>
                <w:sz w:val="20"/>
                <w:szCs w:val="20"/>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1" w:hRule="atLeast"/>
          <w:jc w:val="center"/>
        </w:trPr>
        <w:tc>
          <w:tcPr>
            <w:tcW w:w="4440" w:type="dxa"/>
            <w:gridSpan w:val="3"/>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0"/>
                <w:szCs w:val="20"/>
              </w:rPr>
              <w:t>四、结转下年度继续办理</w:t>
            </w:r>
          </w:p>
        </w:tc>
        <w:tc>
          <w:tcPr>
            <w:tcW w:w="67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w:t>
            </w:r>
          </w:p>
        </w:tc>
        <w:tc>
          <w:tcPr>
            <w:tcW w:w="66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w:t>
            </w:r>
          </w:p>
        </w:tc>
        <w:tc>
          <w:tcPr>
            <w:tcW w:w="66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w:t>
            </w:r>
          </w:p>
        </w:tc>
        <w:tc>
          <w:tcPr>
            <w:tcW w:w="67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 </w:t>
            </w:r>
          </w:p>
        </w:tc>
        <w:tc>
          <w:tcPr>
            <w:tcW w:w="67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w:t>
            </w:r>
          </w:p>
        </w:tc>
        <w:tc>
          <w:tcPr>
            <w:tcW w:w="67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w:t>
            </w:r>
          </w:p>
        </w:tc>
        <w:tc>
          <w:tcPr>
            <w:tcW w:w="67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cs="Calibri"/>
                <w:sz w:val="20"/>
                <w:szCs w:val="20"/>
              </w:rPr>
              <w:t> 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0"/>
        <w:jc w:val="both"/>
        <w:rPr>
          <w:rFonts w:hint="eastAsia" w:ascii="黑体" w:hAnsi="宋体" w:eastAsia="黑体" w:cs="黑体"/>
          <w:i w:val="0"/>
          <w:iCs w:val="0"/>
          <w:caps w:val="0"/>
          <w:color w:val="333333"/>
          <w:spacing w:val="0"/>
          <w:kern w:val="0"/>
          <w:sz w:val="32"/>
          <w:szCs w:val="32"/>
          <w:shd w:val="clear" w:fill="F8F8F8"/>
          <w:lang w:val="en-US" w:eastAsia="zh-CN" w:bidi="ar"/>
        </w:rPr>
      </w:pPr>
      <w:r>
        <w:rPr>
          <w:rFonts w:hint="eastAsia" w:ascii="黑体" w:hAnsi="宋体" w:eastAsia="黑体" w:cs="黑体"/>
          <w:i w:val="0"/>
          <w:iCs w:val="0"/>
          <w:caps w:val="0"/>
          <w:color w:val="333333"/>
          <w:spacing w:val="0"/>
          <w:kern w:val="0"/>
          <w:sz w:val="32"/>
          <w:szCs w:val="32"/>
          <w:shd w:val="clear" w:fill="F8F8F8"/>
          <w:lang w:val="en-US" w:eastAsia="zh-CN" w:bidi="ar"/>
        </w:rPr>
        <w:t>四、政府信息公开行政复议、行政诉讼情况</w:t>
      </w:r>
    </w:p>
    <w:tbl>
      <w:tblPr>
        <w:tblStyle w:val="4"/>
        <w:tblW w:w="975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49"/>
        <w:gridCol w:w="649"/>
        <w:gridCol w:w="649"/>
        <w:gridCol w:w="649"/>
        <w:gridCol w:w="649"/>
        <w:gridCol w:w="649"/>
        <w:gridCol w:w="649"/>
        <w:gridCol w:w="650"/>
        <w:gridCol w:w="651"/>
        <w:gridCol w:w="651"/>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0"/>
                <w:szCs w:val="20"/>
              </w:rPr>
              <w:t>行政复议</w:t>
            </w:r>
          </w:p>
        </w:tc>
        <w:tc>
          <w:tcPr>
            <w:tcW w:w="6428" w:type="dxa"/>
            <w:gridSpan w:val="10"/>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0"/>
                <w:szCs w:val="20"/>
              </w:rPr>
              <w:t>结果维持</w:t>
            </w:r>
          </w:p>
        </w:tc>
        <w:tc>
          <w:tcPr>
            <w:tcW w:w="642"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0"/>
                <w:szCs w:val="20"/>
              </w:rPr>
              <w:t>结果</w:t>
            </w:r>
            <w:r>
              <w:rPr>
                <w:rFonts w:hint="eastAsia" w:ascii="宋体" w:hAnsi="宋体" w:eastAsia="宋体" w:cs="宋体"/>
                <w:sz w:val="20"/>
                <w:szCs w:val="20"/>
              </w:rPr>
              <w:br w:type="textWrapping"/>
            </w:r>
            <w:r>
              <w:rPr>
                <w:rFonts w:hint="eastAsia" w:ascii="宋体" w:hAnsi="宋体" w:eastAsia="宋体" w:cs="宋体"/>
                <w:sz w:val="20"/>
                <w:szCs w:val="20"/>
              </w:rPr>
              <w:t>纠正</w:t>
            </w:r>
          </w:p>
        </w:tc>
        <w:tc>
          <w:tcPr>
            <w:tcW w:w="642"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0"/>
                <w:szCs w:val="20"/>
              </w:rPr>
              <w:t>其他</w:t>
            </w:r>
            <w:r>
              <w:rPr>
                <w:rFonts w:hint="eastAsia" w:ascii="宋体" w:hAnsi="宋体" w:eastAsia="宋体" w:cs="宋体"/>
                <w:sz w:val="20"/>
                <w:szCs w:val="20"/>
              </w:rPr>
              <w:br w:type="textWrapping"/>
            </w:r>
            <w:r>
              <w:rPr>
                <w:rFonts w:hint="eastAsia" w:ascii="宋体" w:hAnsi="宋体" w:eastAsia="宋体" w:cs="宋体"/>
                <w:sz w:val="20"/>
                <w:szCs w:val="20"/>
              </w:rPr>
              <w:t>结果</w:t>
            </w:r>
          </w:p>
        </w:tc>
        <w:tc>
          <w:tcPr>
            <w:tcW w:w="642"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0"/>
                <w:szCs w:val="20"/>
              </w:rPr>
              <w:t>尚未</w:t>
            </w:r>
            <w:r>
              <w:rPr>
                <w:rFonts w:hint="eastAsia" w:ascii="宋体" w:hAnsi="宋体" w:eastAsia="宋体" w:cs="宋体"/>
                <w:sz w:val="20"/>
                <w:szCs w:val="20"/>
              </w:rPr>
              <w:br w:type="textWrapping"/>
            </w:r>
            <w:r>
              <w:rPr>
                <w:rFonts w:hint="eastAsia" w:ascii="宋体" w:hAnsi="宋体" w:eastAsia="宋体" w:cs="宋体"/>
                <w:sz w:val="20"/>
                <w:szCs w:val="20"/>
              </w:rPr>
              <w:t>审结</w:t>
            </w:r>
          </w:p>
        </w:tc>
        <w:tc>
          <w:tcPr>
            <w:tcW w:w="642"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0"/>
                <w:szCs w:val="20"/>
              </w:rPr>
              <w:t>总计</w:t>
            </w:r>
          </w:p>
        </w:tc>
        <w:tc>
          <w:tcPr>
            <w:tcW w:w="3213" w:type="dxa"/>
            <w:gridSpan w:val="5"/>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0"/>
                <w:szCs w:val="20"/>
              </w:rPr>
              <w:t>未经复议直接起诉</w:t>
            </w:r>
          </w:p>
        </w:tc>
        <w:tc>
          <w:tcPr>
            <w:tcW w:w="3215" w:type="dxa"/>
            <w:gridSpan w:val="5"/>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642"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642"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642"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642"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0"/>
                <w:szCs w:val="20"/>
              </w:rPr>
              <w:t>结果</w:t>
            </w:r>
            <w:r>
              <w:rPr>
                <w:rFonts w:hint="eastAsia" w:ascii="宋体" w:hAnsi="宋体" w:eastAsia="宋体" w:cs="宋体"/>
                <w:sz w:val="20"/>
                <w:szCs w:val="20"/>
              </w:rPr>
              <w:br w:type="textWrapping"/>
            </w:r>
            <w:r>
              <w:rPr>
                <w:rFonts w:hint="eastAsia" w:ascii="宋体" w:hAnsi="宋体" w:eastAsia="宋体" w:cs="宋体"/>
                <w:sz w:val="20"/>
                <w:szCs w:val="20"/>
              </w:rPr>
              <w:t>维持</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0"/>
                <w:szCs w:val="20"/>
              </w:rPr>
              <w:t>结果</w:t>
            </w:r>
            <w:r>
              <w:rPr>
                <w:rFonts w:hint="eastAsia" w:ascii="宋体" w:hAnsi="宋体" w:eastAsia="宋体" w:cs="宋体"/>
                <w:sz w:val="20"/>
                <w:szCs w:val="20"/>
              </w:rPr>
              <w:br w:type="textWrapping"/>
            </w:r>
            <w:r>
              <w:rPr>
                <w:rFonts w:hint="eastAsia" w:ascii="宋体" w:hAnsi="宋体" w:eastAsia="宋体" w:cs="宋体"/>
                <w:sz w:val="20"/>
                <w:szCs w:val="20"/>
              </w:rPr>
              <w:t>纠正</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0"/>
                <w:szCs w:val="20"/>
              </w:rPr>
              <w:t>其他</w:t>
            </w:r>
            <w:r>
              <w:rPr>
                <w:rFonts w:hint="eastAsia" w:ascii="宋体" w:hAnsi="宋体" w:eastAsia="宋体" w:cs="宋体"/>
                <w:sz w:val="20"/>
                <w:szCs w:val="20"/>
              </w:rPr>
              <w:br w:type="textWrapping"/>
            </w:r>
            <w:r>
              <w:rPr>
                <w:rFonts w:hint="eastAsia" w:ascii="宋体" w:hAnsi="宋体" w:eastAsia="宋体" w:cs="宋体"/>
                <w:sz w:val="20"/>
                <w:szCs w:val="20"/>
              </w:rPr>
              <w:t>结果</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0"/>
                <w:szCs w:val="20"/>
              </w:rPr>
              <w:t>尚未</w:t>
            </w:r>
            <w:r>
              <w:rPr>
                <w:rFonts w:hint="eastAsia" w:ascii="宋体" w:hAnsi="宋体" w:eastAsia="宋体" w:cs="宋体"/>
                <w:sz w:val="20"/>
                <w:szCs w:val="20"/>
              </w:rPr>
              <w:br w:type="textWrapping"/>
            </w:r>
            <w:r>
              <w:rPr>
                <w:rFonts w:hint="eastAsia" w:ascii="宋体" w:hAnsi="宋体" w:eastAsia="宋体" w:cs="宋体"/>
                <w:sz w:val="20"/>
                <w:szCs w:val="20"/>
              </w:rPr>
              <w:t>审结</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color w:val="000000"/>
                <w:sz w:val="20"/>
                <w:szCs w:val="20"/>
              </w:rPr>
              <w:t>总计</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0"/>
                <w:szCs w:val="20"/>
              </w:rPr>
              <w:t>结果</w:t>
            </w:r>
            <w:r>
              <w:rPr>
                <w:rFonts w:hint="eastAsia" w:ascii="宋体" w:hAnsi="宋体" w:eastAsia="宋体" w:cs="宋体"/>
                <w:sz w:val="20"/>
                <w:szCs w:val="20"/>
              </w:rPr>
              <w:br w:type="textWrapping"/>
            </w:r>
            <w:r>
              <w:rPr>
                <w:rFonts w:hint="eastAsia" w:ascii="宋体" w:hAnsi="宋体" w:eastAsia="宋体" w:cs="宋体"/>
                <w:sz w:val="20"/>
                <w:szCs w:val="20"/>
              </w:rPr>
              <w:t>维持</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0"/>
                <w:szCs w:val="20"/>
              </w:rPr>
              <w:t>结果</w:t>
            </w:r>
            <w:r>
              <w:rPr>
                <w:rFonts w:hint="eastAsia" w:ascii="宋体" w:hAnsi="宋体" w:eastAsia="宋体" w:cs="宋体"/>
                <w:sz w:val="20"/>
                <w:szCs w:val="20"/>
              </w:rPr>
              <w:br w:type="textWrapping"/>
            </w:r>
            <w:r>
              <w:rPr>
                <w:rFonts w:hint="eastAsia" w:ascii="宋体" w:hAnsi="宋体" w:eastAsia="宋体" w:cs="宋体"/>
                <w:sz w:val="20"/>
                <w:szCs w:val="20"/>
              </w:rPr>
              <w:t>纠正</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color w:val="000000"/>
                <w:sz w:val="20"/>
                <w:szCs w:val="20"/>
              </w:rPr>
              <w:t>其他</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结果</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0"/>
                <w:szCs w:val="20"/>
              </w:rPr>
              <w:t>尚未</w:t>
            </w:r>
            <w:r>
              <w:rPr>
                <w:rFonts w:hint="eastAsia" w:ascii="宋体" w:hAnsi="宋体" w:eastAsia="宋体" w:cs="宋体"/>
                <w:sz w:val="20"/>
                <w:szCs w:val="20"/>
              </w:rPr>
              <w:br w:type="textWrapping"/>
            </w:r>
            <w:r>
              <w:rPr>
                <w:rFonts w:hint="eastAsia" w:ascii="宋体" w:hAnsi="宋体" w:eastAsia="宋体" w:cs="宋体"/>
                <w:sz w:val="20"/>
                <w:szCs w:val="20"/>
              </w:rPr>
              <w:t>审结</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color w:val="00000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0"/>
                <w:szCs w:val="20"/>
              </w:rPr>
              <w:t> 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0"/>
                <w:szCs w:val="20"/>
              </w:rPr>
              <w:t> 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0"/>
                <w:szCs w:val="20"/>
              </w:rPr>
              <w:t>0 </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0"/>
                <w:szCs w:val="20"/>
              </w:rPr>
              <w:t> 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0"/>
                <w:szCs w:val="20"/>
              </w:rPr>
              <w:t>0 </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0"/>
                <w:szCs w:val="20"/>
              </w:rPr>
              <w:t>0 </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0"/>
                <w:szCs w:val="20"/>
              </w:rPr>
              <w:t>0 </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0"/>
                <w:szCs w:val="20"/>
              </w:rPr>
              <w:t>0 </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0"/>
                <w:szCs w:val="20"/>
              </w:rPr>
              <w:t>0 </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0"/>
                <w:szCs w:val="20"/>
              </w:rPr>
              <w:t>0 </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0"/>
                <w:szCs w:val="20"/>
              </w:rPr>
              <w:t>0 </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0"/>
                <w:szCs w:val="20"/>
              </w:rPr>
              <w:t>0 </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0"/>
                <w:szCs w:val="20"/>
              </w:rPr>
              <w:t>0 </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0"/>
                <w:szCs w:val="20"/>
              </w:rPr>
              <w:t>0 </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sz w:val="24"/>
                <w:szCs w:val="24"/>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0"/>
        <w:jc w:val="both"/>
        <w:rPr>
          <w:rFonts w:hint="eastAsia" w:ascii="黑体" w:hAnsi="宋体" w:eastAsia="黑体" w:cs="黑体"/>
          <w:i w:val="0"/>
          <w:iCs w:val="0"/>
          <w:caps w:val="0"/>
          <w:color w:val="333333"/>
          <w:spacing w:val="0"/>
          <w:kern w:val="0"/>
          <w:sz w:val="32"/>
          <w:szCs w:val="32"/>
          <w:shd w:val="clear" w:fill="F8F8F8"/>
          <w:lang w:val="en-US" w:eastAsia="zh-CN" w:bidi="ar"/>
        </w:rPr>
      </w:pPr>
      <w:r>
        <w:rPr>
          <w:rFonts w:hint="eastAsia" w:ascii="黑体" w:hAnsi="宋体" w:eastAsia="黑体" w:cs="黑体"/>
          <w:i w:val="0"/>
          <w:iCs w:val="0"/>
          <w:caps w:val="0"/>
          <w:color w:val="333333"/>
          <w:spacing w:val="0"/>
          <w:kern w:val="0"/>
          <w:sz w:val="32"/>
          <w:szCs w:val="32"/>
          <w:shd w:val="clear" w:fill="F8F8F8"/>
          <w:lang w:val="en-US" w:eastAsia="zh-CN" w:bidi="ar"/>
        </w:rPr>
        <w:t>五、存在的主要问题及改进情况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562"/>
        <w:jc w:val="both"/>
        <w:rPr>
          <w:rFonts w:hint="eastAsia" w:ascii="仿宋" w:hAnsi="仿宋" w:eastAsia="仿宋" w:cs="仿宋"/>
          <w:i w:val="0"/>
          <w:iCs w:val="0"/>
          <w:caps w:val="0"/>
          <w:color w:val="333333"/>
          <w:spacing w:val="0"/>
          <w:sz w:val="32"/>
          <w:szCs w:val="32"/>
        </w:rPr>
      </w:pPr>
      <w:r>
        <w:rPr>
          <w:rFonts w:hint="eastAsia" w:ascii="仿宋" w:hAnsi="仿宋" w:eastAsia="仿宋" w:cs="仿宋"/>
          <w:b/>
          <w:bCs/>
          <w:i w:val="0"/>
          <w:iCs w:val="0"/>
          <w:caps w:val="0"/>
          <w:color w:val="333333"/>
          <w:spacing w:val="0"/>
          <w:kern w:val="0"/>
          <w:sz w:val="32"/>
          <w:szCs w:val="32"/>
          <w:shd w:val="clear" w:fill="F8F8F8"/>
          <w:lang w:val="en-US" w:eastAsia="zh-CN" w:bidi="ar"/>
        </w:rPr>
        <w:t>1、存在的问题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8F8F8"/>
        </w:rPr>
        <w:t>一是信息公开质量仍需进一步提高。面对群众日益丰富的信息公开需求，街道</w:t>
      </w:r>
      <w:r>
        <w:rPr>
          <w:rFonts w:hint="eastAsia" w:ascii="宋体" w:hAnsi="宋体" w:eastAsia="宋体" w:cs="宋体"/>
          <w:sz w:val="20"/>
          <w:szCs w:val="20"/>
        </w:rPr>
        <w:t>信息</w:t>
      </w:r>
      <w:r>
        <w:rPr>
          <w:rFonts w:hint="eastAsia" w:ascii="仿宋" w:hAnsi="仿宋" w:eastAsia="仿宋" w:cs="仿宋"/>
          <w:i w:val="0"/>
          <w:iCs w:val="0"/>
          <w:caps w:val="0"/>
          <w:color w:val="333333"/>
          <w:spacing w:val="0"/>
          <w:sz w:val="32"/>
          <w:szCs w:val="32"/>
          <w:shd w:val="clear" w:fill="F8F8F8"/>
        </w:rPr>
        <w:t>公开的广度和深度还有差距，个别部门信息公开主动性不足，负责的栏目更新不够及时。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64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8F8F8"/>
        </w:rPr>
        <w:t>二是信息公开队伍仍需进一步加强。街道和居村人员变动较快，政府信息公开负责人员经常调整，缺乏理论知识系统性学习，导致工作存在一定短板。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562"/>
        <w:jc w:val="both"/>
        <w:rPr>
          <w:rFonts w:hint="eastAsia" w:ascii="仿宋" w:hAnsi="仿宋" w:eastAsia="仿宋" w:cs="仿宋"/>
          <w:i w:val="0"/>
          <w:iCs w:val="0"/>
          <w:caps w:val="0"/>
          <w:color w:val="333333"/>
          <w:spacing w:val="0"/>
          <w:sz w:val="32"/>
          <w:szCs w:val="32"/>
        </w:rPr>
      </w:pPr>
      <w:r>
        <w:rPr>
          <w:rFonts w:hint="eastAsia" w:ascii="仿宋" w:hAnsi="仿宋" w:eastAsia="仿宋" w:cs="仿宋"/>
          <w:b/>
          <w:bCs/>
          <w:i w:val="0"/>
          <w:iCs w:val="0"/>
          <w:caps w:val="0"/>
          <w:color w:val="333333"/>
          <w:spacing w:val="0"/>
          <w:kern w:val="0"/>
          <w:sz w:val="32"/>
          <w:szCs w:val="32"/>
          <w:shd w:val="clear" w:fill="F8F8F8"/>
          <w:lang w:val="en-US" w:eastAsia="zh-CN" w:bidi="ar"/>
        </w:rPr>
        <w:t>2、采取的措施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64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8F8F8"/>
        </w:rPr>
        <w:t>一是严格执行工作方案，专人专管，人员流动时及时做好工作交接。建立工作任务清单化管理模式，明确部门、负责人员、时间节点等信息。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64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8F8F8"/>
        </w:rPr>
        <w:t>二是严格规范公开流程，总结工作经验，定期开展业务培训会，全面提升信息公开专业化水平。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0"/>
        <w:jc w:val="both"/>
        <w:rPr>
          <w:rFonts w:hint="eastAsia" w:ascii="黑体" w:hAnsi="宋体" w:eastAsia="黑体" w:cs="黑体"/>
          <w:i w:val="0"/>
          <w:iCs w:val="0"/>
          <w:caps w:val="0"/>
          <w:color w:val="333333"/>
          <w:spacing w:val="0"/>
          <w:kern w:val="0"/>
          <w:sz w:val="32"/>
          <w:szCs w:val="32"/>
          <w:shd w:val="clear" w:fill="F8F8F8"/>
          <w:lang w:val="en-US" w:eastAsia="zh-CN" w:bidi="ar"/>
        </w:rPr>
      </w:pPr>
      <w:r>
        <w:rPr>
          <w:rFonts w:hint="eastAsia" w:ascii="黑体" w:hAnsi="宋体" w:eastAsia="黑体" w:cs="黑体"/>
          <w:i w:val="0"/>
          <w:iCs w:val="0"/>
          <w:caps w:val="0"/>
          <w:color w:val="333333"/>
          <w:spacing w:val="0"/>
          <w:kern w:val="0"/>
          <w:sz w:val="32"/>
          <w:szCs w:val="32"/>
          <w:shd w:val="clear" w:fill="F8F8F8"/>
          <w:lang w:val="en-US" w:eastAsia="zh-CN" w:bidi="ar"/>
        </w:rPr>
        <w:t>六、其他需要报告的事项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640" w:firstLineChars="20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shd w:val="clear" w:fill="F8F8F8"/>
          <w:lang w:val="en-US" w:eastAsia="zh-CN" w:bidi="ar"/>
        </w:rPr>
        <w:t>按照《国务院办公厅关于印发〈政府信息公开信息处理费管理办法〉的通知》（国办〔2020〕109号）规定的按件、按量收费标准，本年度没有产生信息公开处理费。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YzZGE1ZTVjNzg0ZDhiNzVkMzI2NGU5ODAwNGEyNTQifQ=="/>
  </w:docVars>
  <w:rsids>
    <w:rsidRoot w:val="2B557669"/>
    <w:rsid w:val="07114B67"/>
    <w:rsid w:val="0C94657F"/>
    <w:rsid w:val="1FE01D44"/>
    <w:rsid w:val="2B557669"/>
    <w:rsid w:val="320C5CA0"/>
    <w:rsid w:val="3A922FD5"/>
    <w:rsid w:val="483A0E93"/>
    <w:rsid w:val="5E571D71"/>
    <w:rsid w:val="740D49E9"/>
    <w:rsid w:val="77780F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autoRedefine/>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autoRedefine/>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2023-12-22T00:55:00Z</dcterms:created>
  <dc:creator>Administrator</dc:creator>
  <cp:lastModifiedBy>Administrator</cp:lastModifiedBy>
  <dcterms:modified xsi:type="dcterms:W3CDTF">2024-03-18T03:01:59Z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CD63C910E59D492F86BF331FEB8FD5D9_11</vt:lpwstr>
  </property>
</Properties>
</file>