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640" w:firstLineChars="200"/>
        <w:rPr>
          <w:rFonts w:ascii="宋体" w:hAnsi="宋体" w:eastAsia="宋体" w:cs="宋体"/>
          <w:kern w:val="0"/>
          <w:sz w:val="24"/>
          <w:szCs w:val="24"/>
        </w:rPr>
      </w:pPr>
      <w:bookmarkStart w:id="0" w:name="OLE_LINK1"/>
      <w:r>
        <w:rPr>
          <w:rFonts w:hint="eastAsia" w:ascii="仿宋" w:hAnsi="仿宋" w:eastAsia="仿宋" w:cs="宋体"/>
          <w:color w:val="000000"/>
          <w:sz w:val="32"/>
          <w:szCs w:val="32"/>
          <w:shd w:val="clear" w:color="auto" w:fill="FFFFFF"/>
        </w:rPr>
        <w:t>本报告根据 《中华人民共和国政府信息公开条例》（国务院令第-711 号》和《国务院办公厅政府信息与政务公开办公室关于印发&lt;中华人民共和国政府信息公开工作年度投告格式&gt;的通知》（国办公开办函（2021）30 号）要求，结合我镇政府信息公开工作有关统计数据撰写。报告内容包括：总体情</w:t>
      </w:r>
      <w:r>
        <w:rPr>
          <w:rFonts w:hint="eastAsia" w:ascii="仿宋" w:hAnsi="仿宋" w:eastAsia="仿宋" w:cs="宋体"/>
          <w:color w:val="000000"/>
          <w:sz w:val="32"/>
          <w:szCs w:val="32"/>
          <w:shd w:val="clear" w:color="auto" w:fill="FFFFFF"/>
          <w:lang w:val="en-US" w:eastAsia="zh-CN"/>
        </w:rPr>
        <w:t>况</w:t>
      </w:r>
      <w:bookmarkStart w:id="1" w:name="_GoBack"/>
      <w:bookmarkEnd w:id="1"/>
      <w:r>
        <w:rPr>
          <w:rFonts w:hint="eastAsia" w:ascii="仿宋" w:hAnsi="仿宋" w:eastAsia="仿宋" w:cs="宋体"/>
          <w:color w:val="000000"/>
          <w:sz w:val="32"/>
          <w:szCs w:val="32"/>
          <w:shd w:val="clear" w:color="auto" w:fill="FFFFFF"/>
        </w:rPr>
        <w:t>、主动公开政府信息情况、收到和处理政府信息公开申请情况、因政府信息公开被申请行政复议和提起行政诉讼情况、政府信息公开工作存在主要问题及改进情况和其他需要报告事项。本报告中使用数据统计期限为 2022年1月1日至 12月31日。如对本报告有任何疑问，请与秦栏镇人民政府联系（地址：天长市秦栏镇寿昌路88号，电话：0550-7859225）。</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黑体" w:hAnsi="黑体" w:eastAsia="黑体" w:cs="宋体"/>
          <w:sz w:val="32"/>
          <w:szCs w:val="32"/>
        </w:rPr>
        <w:t>一、总体情况</w:t>
      </w:r>
    </w:p>
    <w:p>
      <w:pPr>
        <w:widowControl/>
        <w:spacing w:before="100" w:beforeAutospacing="1" w:after="100" w:afterAutospacing="1"/>
        <w:ind w:firstLine="640" w:firstLineChars="200"/>
        <w:rPr>
          <w:rFonts w:ascii="宋体" w:hAnsi="宋体" w:eastAsia="宋体" w:cs="宋体"/>
          <w:kern w:val="0"/>
          <w:sz w:val="24"/>
          <w:szCs w:val="24"/>
        </w:rPr>
      </w:pPr>
      <w:r>
        <w:rPr>
          <w:rFonts w:hint="eastAsia" w:ascii="仿宋" w:hAnsi="仿宋" w:eastAsia="仿宋" w:cs="宋体"/>
          <w:sz w:val="32"/>
          <w:szCs w:val="32"/>
        </w:rPr>
        <w:t>2022年,在市委、市政府的坚强领导下,尤其是在市政府办大力指导下，秦栏镇</w:t>
      </w:r>
      <w:r>
        <w:rPr>
          <w:rFonts w:hint="eastAsia" w:ascii="仿宋" w:hAnsi="仿宋" w:eastAsia="仿宋" w:cs="宋体"/>
          <w:color w:val="000000"/>
          <w:sz w:val="32"/>
          <w:szCs w:val="32"/>
          <w:shd w:val="clear" w:color="auto" w:fill="FFFFFF"/>
        </w:rPr>
        <w:t>深化重点领域信息公开，强化监督保障工作，有序推进基层领域政务公开标准化、规范化建设，呈现出良好发展局面。</w:t>
      </w:r>
    </w:p>
    <w:p>
      <w:pPr>
        <w:widowControl/>
        <w:spacing w:before="100" w:beforeAutospacing="1" w:after="100" w:afterAutospacing="1"/>
        <w:ind w:firstLine="643" w:firstLineChars="200"/>
        <w:rPr>
          <w:rFonts w:ascii="宋体" w:hAnsi="宋体" w:eastAsia="宋体" w:cs="宋体"/>
          <w:kern w:val="0"/>
          <w:sz w:val="24"/>
          <w:szCs w:val="24"/>
        </w:rPr>
      </w:pPr>
      <w:r>
        <w:rPr>
          <w:rFonts w:hint="eastAsia" w:ascii="楷体" w:hAnsi="楷体" w:eastAsia="楷体" w:cs="宋体"/>
          <w:b/>
          <w:bCs/>
          <w:color w:val="333333"/>
          <w:sz w:val="32"/>
          <w:szCs w:val="32"/>
          <w:shd w:val="clear" w:color="auto" w:fill="FFFFFF"/>
        </w:rPr>
        <w:t>（一）主动公开情况</w:t>
      </w:r>
    </w:p>
    <w:p>
      <w:pPr>
        <w:widowControl/>
        <w:spacing w:before="100" w:beforeAutospacing="1" w:after="100" w:afterAutospacing="1"/>
        <w:ind w:firstLine="643" w:firstLineChars="200"/>
        <w:rPr>
          <w:rFonts w:ascii="宋体" w:hAnsi="宋体" w:eastAsia="宋体" w:cs="宋体"/>
          <w:kern w:val="0"/>
          <w:sz w:val="24"/>
          <w:szCs w:val="24"/>
        </w:rPr>
      </w:pPr>
      <w:r>
        <w:rPr>
          <w:rFonts w:hint="eastAsia" w:ascii="楷体" w:hAnsi="楷体" w:eastAsia="楷体" w:cs="宋体"/>
          <w:b/>
          <w:bCs/>
          <w:color w:val="333333"/>
          <w:sz w:val="32"/>
          <w:szCs w:val="32"/>
          <w:shd w:val="clear" w:color="auto" w:fill="FFFFFF"/>
        </w:rPr>
        <w:t>一是加强组织领导。</w:t>
      </w:r>
      <w:r>
        <w:rPr>
          <w:rFonts w:hint="eastAsia" w:ascii="仿宋" w:hAnsi="仿宋" w:eastAsia="仿宋" w:cs="宋体"/>
          <w:sz w:val="32"/>
          <w:szCs w:val="32"/>
        </w:rPr>
        <w:t>秦栏镇将政务公开工作纳入重要议事日程，全年召开政务公开专题推进会4次，及时跟进学习贯彻有关政务公开要求，先后完善了政务信息公开解读回应、重大行政决策公众参与等6项规章制度，形成了责任有人扛、信息准时报的工作格局，有力保障政务公开工作措施的有效落实和高效运转。</w:t>
      </w:r>
      <w:r>
        <w:rPr>
          <w:rFonts w:hint="eastAsia" w:ascii="楷体" w:hAnsi="楷体" w:eastAsia="楷体" w:cs="宋体"/>
          <w:b/>
          <w:bCs/>
          <w:color w:val="333333"/>
          <w:sz w:val="32"/>
          <w:szCs w:val="32"/>
          <w:shd w:val="clear" w:color="auto" w:fill="FFFFFF"/>
        </w:rPr>
        <w:t>二是拓宽公开渠道。</w:t>
      </w:r>
      <w:r>
        <w:rPr>
          <w:rFonts w:hint="eastAsia" w:ascii="仿宋" w:hAnsi="仿宋" w:eastAsia="仿宋" w:cs="宋体"/>
          <w:sz w:val="32"/>
          <w:szCs w:val="32"/>
        </w:rPr>
        <w:t xml:space="preserve">在用好政府政务网站的基础上，积极整合资源，充分发挥微信公众号、电子屏、横幅等传统和新兴媒介作用，不断创新公开载体，扩大公开覆盖面，不断提升服务水平，自觉接受群众监督。今年以来，发布各类信息1000余条。 </w:t>
      </w:r>
    </w:p>
    <w:p>
      <w:pPr>
        <w:widowControl/>
        <w:spacing w:before="100" w:beforeAutospacing="1" w:after="100" w:afterAutospacing="1"/>
        <w:ind w:firstLine="643" w:firstLineChars="200"/>
        <w:rPr>
          <w:rFonts w:ascii="宋体" w:hAnsi="宋体" w:eastAsia="宋体" w:cs="宋体"/>
          <w:kern w:val="0"/>
          <w:sz w:val="24"/>
          <w:szCs w:val="24"/>
        </w:rPr>
      </w:pPr>
      <w:r>
        <w:rPr>
          <w:rFonts w:hint="eastAsia" w:ascii="楷体" w:hAnsi="楷体" w:eastAsia="楷体" w:cs="宋体"/>
          <w:b/>
          <w:bCs/>
          <w:color w:val="333333"/>
          <w:sz w:val="32"/>
          <w:szCs w:val="32"/>
          <w:shd w:val="clear" w:color="auto" w:fill="FFFFFF"/>
        </w:rPr>
        <w:t>（二）依申请公开情况</w:t>
      </w:r>
    </w:p>
    <w:p>
      <w:pPr>
        <w:widowControl/>
        <w:spacing w:before="100" w:beforeAutospacing="1" w:after="100" w:afterAutospacing="1"/>
        <w:ind w:firstLine="640" w:firstLineChars="200"/>
        <w:rPr>
          <w:rFonts w:ascii="宋体" w:hAnsi="宋体" w:eastAsia="宋体" w:cs="宋体"/>
          <w:kern w:val="0"/>
          <w:sz w:val="24"/>
          <w:szCs w:val="24"/>
        </w:rPr>
      </w:pPr>
      <w:r>
        <w:rPr>
          <w:rFonts w:hint="eastAsia" w:ascii="仿宋" w:hAnsi="仿宋" w:eastAsia="仿宋" w:cs="宋体"/>
          <w:sz w:val="32"/>
          <w:szCs w:val="32"/>
        </w:rPr>
        <w:t>2022年，全镇共受理依申请公开1件，主要涉及土地征收方面，已严格按照要求规范予以答复。全年无因政府信息公开的行政诉讼和行政复议。</w:t>
      </w:r>
    </w:p>
    <w:p>
      <w:pPr>
        <w:widowControl/>
        <w:spacing w:before="100" w:beforeAutospacing="1" w:after="100" w:afterAutospacing="1"/>
        <w:ind w:firstLine="643" w:firstLineChars="200"/>
        <w:rPr>
          <w:rFonts w:ascii="宋体" w:hAnsi="宋体" w:eastAsia="宋体" w:cs="宋体"/>
          <w:kern w:val="0"/>
          <w:sz w:val="24"/>
          <w:szCs w:val="24"/>
        </w:rPr>
      </w:pPr>
      <w:r>
        <w:rPr>
          <w:rFonts w:hint="eastAsia" w:ascii="楷体" w:hAnsi="楷体" w:eastAsia="楷体" w:cs="宋体"/>
          <w:b/>
          <w:bCs/>
          <w:color w:val="333333"/>
          <w:sz w:val="32"/>
          <w:szCs w:val="32"/>
          <w:shd w:val="clear" w:color="auto" w:fill="FFFFFF"/>
        </w:rPr>
        <w:t>（三）政府信息管理</w:t>
      </w:r>
    </w:p>
    <w:p>
      <w:pPr>
        <w:widowControl/>
        <w:spacing w:before="100" w:beforeAutospacing="1" w:after="100" w:afterAutospacing="1"/>
        <w:ind w:firstLine="640" w:firstLineChars="200"/>
        <w:rPr>
          <w:rFonts w:ascii="宋体" w:hAnsi="宋体" w:eastAsia="宋体" w:cs="宋体"/>
          <w:kern w:val="0"/>
          <w:sz w:val="24"/>
          <w:szCs w:val="24"/>
        </w:rPr>
      </w:pPr>
      <w:r>
        <w:rPr>
          <w:rFonts w:hint="eastAsia" w:ascii="仿宋" w:hAnsi="仿宋" w:eastAsia="仿宋" w:cs="宋体"/>
          <w:sz w:val="32"/>
          <w:szCs w:val="32"/>
        </w:rPr>
        <w:t>积极推进一般事项公开向重点事项公开、结果公开向全过程公开、自定公开内容向群众点题公开转变，进一步提高政务公开的质量。根据上级相关要求，实行信息发布“三审”制度，定期开展政务公开网站自查，累计整改错链10余条，错误表述、敏感词7处。</w:t>
      </w:r>
    </w:p>
    <w:p>
      <w:pPr>
        <w:widowControl/>
        <w:spacing w:before="100" w:beforeAutospacing="1" w:after="100" w:afterAutospacing="1"/>
        <w:ind w:firstLine="643" w:firstLineChars="200"/>
        <w:rPr>
          <w:rFonts w:ascii="宋体" w:hAnsi="宋体" w:eastAsia="宋体" w:cs="宋体"/>
          <w:kern w:val="0"/>
          <w:sz w:val="24"/>
          <w:szCs w:val="24"/>
        </w:rPr>
      </w:pPr>
      <w:r>
        <w:rPr>
          <w:rFonts w:hint="eastAsia" w:ascii="楷体" w:hAnsi="楷体" w:eastAsia="楷体" w:cs="宋体"/>
          <w:b/>
          <w:bCs/>
          <w:color w:val="333333"/>
          <w:sz w:val="32"/>
          <w:szCs w:val="32"/>
          <w:shd w:val="clear" w:color="auto" w:fill="FFFFFF"/>
        </w:rPr>
        <w:t>（四）政府信息公开平台建设</w:t>
      </w:r>
    </w:p>
    <w:p>
      <w:pPr>
        <w:widowControl/>
        <w:spacing w:before="100" w:beforeAutospacing="1" w:after="100" w:afterAutospacing="1"/>
        <w:ind w:firstLine="640" w:firstLineChars="200"/>
        <w:rPr>
          <w:rFonts w:ascii="宋体" w:hAnsi="宋体" w:eastAsia="宋体" w:cs="宋体"/>
          <w:kern w:val="0"/>
          <w:sz w:val="24"/>
          <w:szCs w:val="24"/>
        </w:rPr>
      </w:pPr>
      <w:r>
        <w:rPr>
          <w:rFonts w:hint="eastAsia" w:ascii="仿宋" w:hAnsi="仿宋" w:eastAsia="仿宋" w:cs="宋体"/>
          <w:sz w:val="32"/>
          <w:szCs w:val="32"/>
        </w:rPr>
        <w:t>我镇严格贯彻落实上级有关要求，按照“全面、准确、规范”的原则及时做好平台信息维护更新工作。</w:t>
      </w:r>
    </w:p>
    <w:p>
      <w:pPr>
        <w:widowControl/>
        <w:spacing w:before="100" w:beforeAutospacing="1" w:after="100" w:afterAutospacing="1"/>
        <w:ind w:firstLine="643" w:firstLineChars="200"/>
        <w:rPr>
          <w:rFonts w:ascii="宋体" w:hAnsi="宋体" w:eastAsia="宋体" w:cs="宋体"/>
          <w:kern w:val="0"/>
          <w:sz w:val="24"/>
          <w:szCs w:val="24"/>
        </w:rPr>
      </w:pPr>
      <w:r>
        <w:rPr>
          <w:rFonts w:hint="eastAsia" w:ascii="楷体" w:hAnsi="楷体" w:eastAsia="楷体" w:cs="宋体"/>
          <w:b/>
          <w:bCs/>
          <w:color w:val="333333"/>
          <w:sz w:val="32"/>
          <w:szCs w:val="32"/>
          <w:shd w:val="clear" w:color="auto" w:fill="FFFFFF"/>
        </w:rPr>
        <w:t>（五）监督保障情况</w:t>
      </w:r>
    </w:p>
    <w:p>
      <w:pPr>
        <w:widowControl/>
        <w:spacing w:before="100" w:beforeAutospacing="1" w:after="100" w:afterAutospacing="1"/>
        <w:ind w:firstLine="640" w:firstLineChars="200"/>
        <w:rPr>
          <w:rFonts w:ascii="宋体" w:hAnsi="宋体" w:eastAsia="宋体" w:cs="宋体"/>
          <w:kern w:val="0"/>
          <w:sz w:val="24"/>
          <w:szCs w:val="24"/>
        </w:rPr>
      </w:pPr>
      <w:r>
        <w:rPr>
          <w:rFonts w:hint="eastAsia" w:ascii="仿宋" w:hAnsi="仿宋" w:eastAsia="仿宋" w:cs="宋体"/>
          <w:sz w:val="32"/>
          <w:szCs w:val="32"/>
        </w:rPr>
        <w:t>为加强政府信息公开工作监督保障，秦栏镇成立了以镇主要领导为组长，分管领导为副组长、各部门负责人为成员的镇政府信息公开工作领导小组，坚持定期指导监督政务公开工作，为保障政务公开工作各类信息内容的质量，我镇将政府信息公开纳入年度考核工作，加强领导，优化制度。同时，探索实行信息员制度，要求各部门指定一名信息员负责承担本部门相关栏目的内容信息的采集和报送工作。各部门信息员具备良好的业务素质、高度的责任感以及高度的政治敏锐性，为政务公开工作提供了有力支持。2022年我镇未发生因政府信息公开工作而收到责任追究的案件。</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黑体" w:hAnsi="黑体" w:eastAsia="黑体" w:cs="宋体"/>
          <w:sz w:val="32"/>
          <w:szCs w:val="32"/>
        </w:rPr>
        <w:t>二、主动公开政府信息情况</w:t>
      </w:r>
    </w:p>
    <w:tbl>
      <w:tblPr>
        <w:tblStyle w:val="2"/>
        <w:tblW w:w="8374" w:type="dxa"/>
        <w:jc w:val="center"/>
        <w:tblLayout w:type="autofit"/>
        <w:tblCellMar>
          <w:top w:w="0" w:type="dxa"/>
          <w:left w:w="0" w:type="dxa"/>
          <w:bottom w:w="0" w:type="dxa"/>
          <w:right w:w="0" w:type="dxa"/>
        </w:tblCellMar>
      </w:tblPr>
      <w:tblGrid>
        <w:gridCol w:w="3113"/>
        <w:gridCol w:w="1875"/>
        <w:gridCol w:w="1505"/>
        <w:gridCol w:w="1881"/>
      </w:tblGrid>
      <w:tr>
        <w:tblPrEx>
          <w:tblCellMar>
            <w:top w:w="0" w:type="dxa"/>
            <w:left w:w="0" w:type="dxa"/>
            <w:bottom w:w="0" w:type="dxa"/>
            <w:right w:w="0" w:type="dxa"/>
          </w:tblCellMar>
        </w:tblPrEx>
        <w:trPr>
          <w:trHeight w:val="327" w:hRule="atLeast"/>
          <w:jc w:val="center"/>
        </w:trPr>
        <w:tc>
          <w:tcPr>
            <w:tcW w:w="837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line="90" w:lineRule="atLeast"/>
              <w:jc w:val="center"/>
              <w:rPr>
                <w:rFonts w:ascii="宋体" w:hAnsi="宋体" w:eastAsia="宋体" w:cs="宋体"/>
                <w:kern w:val="0"/>
                <w:sz w:val="24"/>
                <w:szCs w:val="24"/>
              </w:rPr>
            </w:pPr>
            <w:r>
              <w:rPr>
                <w:rFonts w:hint="eastAsia" w:ascii="宋体" w:hAnsi="宋体" w:eastAsia="宋体" w:cs="宋体"/>
                <w:kern w:val="0"/>
                <w:sz w:val="20"/>
                <w:szCs w:val="20"/>
              </w:rPr>
              <w:t>信息内容</w:t>
            </w:r>
          </w:p>
        </w:tc>
        <w:tc>
          <w:tcPr>
            <w:tcW w:w="18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line="90" w:lineRule="atLeast"/>
              <w:jc w:val="center"/>
              <w:rPr>
                <w:rFonts w:ascii="宋体" w:hAnsi="宋体" w:eastAsia="宋体" w:cs="宋体"/>
                <w:kern w:val="0"/>
                <w:sz w:val="24"/>
                <w:szCs w:val="24"/>
              </w:rPr>
            </w:pPr>
            <w:r>
              <w:rPr>
                <w:rFonts w:hint="eastAsia" w:ascii="宋体" w:hAnsi="宋体" w:eastAsia="宋体" w:cs="宋体"/>
                <w:kern w:val="0"/>
                <w:sz w:val="20"/>
                <w:szCs w:val="20"/>
              </w:rPr>
              <w:t>本年制发件数</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after="180" w:line="90" w:lineRule="atLeast"/>
              <w:jc w:val="center"/>
              <w:rPr>
                <w:rFonts w:ascii="宋体" w:hAnsi="宋体" w:eastAsia="宋体" w:cs="宋体"/>
                <w:kern w:val="0"/>
                <w:sz w:val="24"/>
                <w:szCs w:val="24"/>
              </w:rPr>
            </w:pPr>
            <w:r>
              <w:rPr>
                <w:rFonts w:hint="eastAsia" w:ascii="宋体" w:hAnsi="宋体" w:eastAsia="宋体" w:cs="宋体"/>
                <w:kern w:val="0"/>
                <w:sz w:val="20"/>
                <w:szCs w:val="20"/>
              </w:rPr>
              <w:t>本年废止件数</w:t>
            </w:r>
          </w:p>
        </w:tc>
        <w:tc>
          <w:tcPr>
            <w:tcW w:w="188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line="90" w:lineRule="atLeast"/>
              <w:jc w:val="center"/>
              <w:rPr>
                <w:rFonts w:ascii="宋体" w:hAnsi="宋体" w:eastAsia="宋体" w:cs="宋体"/>
                <w:kern w:val="0"/>
                <w:sz w:val="24"/>
                <w:szCs w:val="24"/>
              </w:rPr>
            </w:pPr>
            <w:r>
              <w:rPr>
                <w:rFonts w:hint="eastAsia" w:ascii="宋体" w:hAnsi="宋体" w:eastAsia="宋体" w:cs="宋体"/>
                <w:kern w:val="0"/>
                <w:sz w:val="20"/>
                <w:szCs w:val="20"/>
              </w:rPr>
              <w:t>现行有效件数</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规章</w:t>
            </w:r>
          </w:p>
        </w:tc>
        <w:tc>
          <w:tcPr>
            <w:tcW w:w="18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188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规范性文件</w:t>
            </w:r>
          </w:p>
        </w:tc>
        <w:tc>
          <w:tcPr>
            <w:tcW w:w="18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188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ind w:firstLine="200"/>
              <w:jc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80" w:hRule="atLeast"/>
          <w:jc w:val="center"/>
        </w:trPr>
        <w:tc>
          <w:tcPr>
            <w:tcW w:w="837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信息内容</w:t>
            </w:r>
          </w:p>
        </w:tc>
        <w:tc>
          <w:tcPr>
            <w:tcW w:w="5261"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行政许可</w:t>
            </w:r>
          </w:p>
        </w:tc>
        <w:tc>
          <w:tcPr>
            <w:tcW w:w="5261"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06" w:hRule="atLeast"/>
          <w:jc w:val="center"/>
        </w:trPr>
        <w:tc>
          <w:tcPr>
            <w:tcW w:w="837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信息内容</w:t>
            </w:r>
          </w:p>
        </w:tc>
        <w:tc>
          <w:tcPr>
            <w:tcW w:w="5261"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5261"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5261"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74" w:hRule="atLeast"/>
          <w:jc w:val="center"/>
        </w:trPr>
        <w:tc>
          <w:tcPr>
            <w:tcW w:w="837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40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信息内容</w:t>
            </w:r>
          </w:p>
        </w:tc>
        <w:tc>
          <w:tcPr>
            <w:tcW w:w="5261" w:type="dxa"/>
            <w:gridSpan w:val="3"/>
            <w:tcBorders>
              <w:top w:val="nil"/>
              <w:left w:val="nil"/>
              <w:bottom w:val="single" w:color="auto" w:sz="8" w:space="0"/>
              <w:right w:val="single" w:color="000000"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行政事业性收费</w:t>
            </w:r>
          </w:p>
        </w:tc>
        <w:tc>
          <w:tcPr>
            <w:tcW w:w="5261" w:type="dxa"/>
            <w:gridSpan w:val="3"/>
            <w:tcBorders>
              <w:top w:val="nil"/>
              <w:left w:val="nil"/>
              <w:bottom w:val="single" w:color="auto" w:sz="8" w:space="0"/>
              <w:right w:val="single" w:color="000000" w:sz="8" w:space="0"/>
            </w:tcBorders>
            <w:shd w:val="clear" w:color="auto" w:fill="FFFFFF"/>
            <w:noWrap/>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0</w:t>
            </w:r>
          </w:p>
        </w:tc>
      </w:tr>
    </w:tbl>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黑体" w:hAnsi="黑体" w:eastAsia="黑体" w:cs="宋体"/>
          <w:sz w:val="32"/>
          <w:szCs w:val="32"/>
        </w:rPr>
        <w:t>三、收到和处理政府信息公开申请情况</w:t>
      </w:r>
    </w:p>
    <w:p>
      <w:pPr>
        <w:widowControl/>
        <w:jc w:val="left"/>
        <w:rPr>
          <w:rFonts w:ascii="宋体" w:hAnsi="宋体" w:eastAsia="宋体" w:cs="宋体"/>
          <w:kern w:val="0"/>
          <w:sz w:val="24"/>
          <w:szCs w:val="24"/>
        </w:rPr>
      </w:pPr>
    </w:p>
    <w:tbl>
      <w:tblPr>
        <w:tblStyle w:val="2"/>
        <w:tblW w:w="9748" w:type="dxa"/>
        <w:tblInd w:w="0" w:type="dxa"/>
        <w:shd w:val="clear" w:color="auto" w:fill="F8F8F8"/>
        <w:tblLayout w:type="autofit"/>
        <w:tblCellMar>
          <w:top w:w="15" w:type="dxa"/>
          <w:left w:w="15" w:type="dxa"/>
          <w:bottom w:w="15" w:type="dxa"/>
          <w:right w:w="15" w:type="dxa"/>
        </w:tblCellMar>
      </w:tblPr>
      <w:tblGrid>
        <w:gridCol w:w="754"/>
        <w:gridCol w:w="921"/>
        <w:gridCol w:w="3257"/>
        <w:gridCol w:w="688"/>
        <w:gridCol w:w="688"/>
        <w:gridCol w:w="688"/>
        <w:gridCol w:w="688"/>
        <w:gridCol w:w="688"/>
        <w:gridCol w:w="688"/>
        <w:gridCol w:w="688"/>
      </w:tblGrid>
      <w:tr>
        <w:tblPrEx>
          <w:shd w:val="clear" w:color="auto" w:fill="F8F8F8"/>
          <w:tblCellMar>
            <w:top w:w="15" w:type="dxa"/>
            <w:left w:w="15" w:type="dxa"/>
            <w:bottom w:w="15" w:type="dxa"/>
            <w:right w:w="15" w:type="dxa"/>
          </w:tblCellMar>
        </w:tblPrEx>
        <w:tc>
          <w:tcPr>
            <w:tcW w:w="4932" w:type="dxa"/>
            <w:gridSpan w:val="3"/>
            <w:vMerge w:val="restart"/>
            <w:tcBorders>
              <w:top w:val="single" w:color="auto" w:sz="8" w:space="0"/>
              <w:left w:val="single" w:color="auto" w:sz="8" w:space="0"/>
              <w:bottom w:val="inset"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楷体" w:hAnsi="楷体" w:eastAsia="楷体" w:cs="宋体"/>
                <w:color w:val="333333"/>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申请人情况</w:t>
            </w:r>
          </w:p>
        </w:tc>
      </w:tr>
      <w:tr>
        <w:tblPrEx>
          <w:tblCellMar>
            <w:top w:w="15" w:type="dxa"/>
            <w:left w:w="15" w:type="dxa"/>
            <w:bottom w:w="15" w:type="dxa"/>
            <w:right w:w="15" w:type="dxa"/>
          </w:tblCellMar>
        </w:tblPrEx>
        <w:tc>
          <w:tcPr>
            <w:tcW w:w="0" w:type="auto"/>
            <w:gridSpan w:val="3"/>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688" w:type="dxa"/>
            <w:vMerge w:val="restart"/>
            <w:tcBorders>
              <w:top w:val="single" w:color="auto" w:sz="8" w:space="0"/>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法人或其他组织</w:t>
            </w:r>
          </w:p>
        </w:tc>
        <w:tc>
          <w:tcPr>
            <w:tcW w:w="688" w:type="dxa"/>
            <w:vMerge w:val="restart"/>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总计</w:t>
            </w:r>
          </w:p>
        </w:tc>
      </w:tr>
      <w:tr>
        <w:tblPrEx>
          <w:tblCellMar>
            <w:top w:w="15" w:type="dxa"/>
            <w:left w:w="15" w:type="dxa"/>
            <w:bottom w:w="15" w:type="dxa"/>
            <w:right w:w="15" w:type="dxa"/>
          </w:tblCellMar>
        </w:tblPrEx>
        <w:tc>
          <w:tcPr>
            <w:tcW w:w="0" w:type="auto"/>
            <w:gridSpan w:val="3"/>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688" w:type="dxa"/>
            <w:tcBorders>
              <w:top w:val="single" w:color="auto" w:sz="8" w:space="0"/>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商业</w:t>
            </w:r>
          </w:p>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企业</w:t>
            </w:r>
          </w:p>
        </w:tc>
        <w:tc>
          <w:tcPr>
            <w:tcW w:w="688" w:type="dxa"/>
            <w:tcBorders>
              <w:top w:val="single" w:color="auto" w:sz="8" w:space="0"/>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科研</w:t>
            </w:r>
          </w:p>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机构</w:t>
            </w:r>
          </w:p>
        </w:tc>
        <w:tc>
          <w:tcPr>
            <w:tcW w:w="688" w:type="dxa"/>
            <w:tcBorders>
              <w:top w:val="single" w:color="auto" w:sz="8" w:space="0"/>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社会公益组织</w:t>
            </w:r>
          </w:p>
        </w:tc>
        <w:tc>
          <w:tcPr>
            <w:tcW w:w="688" w:type="dxa"/>
            <w:tcBorders>
              <w:top w:val="single" w:color="auto" w:sz="8" w:space="0"/>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法律服务机构</w:t>
            </w:r>
          </w:p>
        </w:tc>
        <w:tc>
          <w:tcPr>
            <w:tcW w:w="688" w:type="dxa"/>
            <w:tcBorders>
              <w:top w:val="single" w:color="auto" w:sz="8" w:space="0"/>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其他</w:t>
            </w: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r>
      <w:tr>
        <w:tblPrEx>
          <w:tblCellMar>
            <w:top w:w="15" w:type="dxa"/>
            <w:left w:w="15" w:type="dxa"/>
            <w:bottom w:w="15" w:type="dxa"/>
            <w:right w:w="15" w:type="dxa"/>
          </w:tblCellMar>
        </w:tblPrEx>
        <w:tc>
          <w:tcPr>
            <w:tcW w:w="4932" w:type="dxa"/>
            <w:gridSpan w:val="3"/>
            <w:tcBorders>
              <w:top w:val="nil"/>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 </w:t>
            </w:r>
            <w:r>
              <w:rPr>
                <w:rFonts w:hint="eastAsia"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4932" w:type="dxa"/>
            <w:gridSpan w:val="3"/>
            <w:tcBorders>
              <w:top w:val="nil"/>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 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754" w:type="dxa"/>
            <w:vMerge w:val="restart"/>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三、本年度办理结果</w:t>
            </w:r>
          </w:p>
        </w:tc>
        <w:tc>
          <w:tcPr>
            <w:tcW w:w="4178" w:type="dxa"/>
            <w:gridSpan w:val="2"/>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（一）予以公开</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single" w:color="auto" w:sz="8" w:space="0"/>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4178" w:type="dxa"/>
            <w:gridSpan w:val="2"/>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（二）部分公开</w:t>
            </w:r>
            <w:r>
              <w:rPr>
                <w:rFonts w:hint="eastAsia" w:ascii="楷体" w:hAnsi="楷体" w:eastAsia="楷体" w:cs="宋体"/>
                <w:color w:val="333333"/>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0 </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921" w:type="dxa"/>
            <w:vMerge w:val="restart"/>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（三）不予公开</w:t>
            </w: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1.属于国家秘密</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0 </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single" w:color="auto" w:sz="8" w:space="0"/>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3.危及“三安全一稳定”</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 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0 </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7.属于行政执法案卷</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8.属于行政查询事项</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921" w:type="dxa"/>
            <w:vMerge w:val="restart"/>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（四）无法提供</w:t>
            </w: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921" w:type="dxa"/>
            <w:vMerge w:val="restart"/>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（五）不予处理</w:t>
            </w: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2.重复申请</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0 </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 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0 </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rPr>
          <w:trHeight w:val="779" w:hRule="atLeast"/>
        </w:trPr>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5.要求行政机关确认或重新出具已获取信息</w:t>
            </w:r>
          </w:p>
        </w:tc>
        <w:tc>
          <w:tcPr>
            <w:tcW w:w="688" w:type="dxa"/>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single" w:color="auto" w:sz="8" w:space="0"/>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921" w:type="dxa"/>
            <w:vMerge w:val="restart"/>
            <w:tcBorders>
              <w:top w:val="nil"/>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（六）其他处理</w:t>
            </w: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Calibri" w:hAnsi="Calibri" w:eastAsia="宋体" w:cs="Calibri"/>
                <w:color w:val="333333"/>
                <w:kern w:val="0"/>
                <w:szCs w:val="21"/>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nil"/>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 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0" w:type="auto"/>
            <w:vMerge w:val="continue"/>
            <w:tcBorders>
              <w:top w:val="nil"/>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3257"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3.其他</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 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0 </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inset" w:color="auto" w:sz="8" w:space="0"/>
              <w:right w:val="single" w:color="auto" w:sz="8" w:space="0"/>
            </w:tcBorders>
            <w:shd w:val="clear" w:color="auto" w:fill="F8F8F8"/>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p>
        </w:tc>
        <w:tc>
          <w:tcPr>
            <w:tcW w:w="4178" w:type="dxa"/>
            <w:gridSpan w:val="2"/>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（七）总计</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Calibri" w:hAnsi="Calibri" w:eastAsia="宋体" w:cs="Calibri"/>
                <w:color w:val="333333"/>
                <w:kern w:val="0"/>
                <w:sz w:val="20"/>
                <w:szCs w:val="20"/>
              </w:rPr>
              <w:t>0</w:t>
            </w:r>
            <w:r>
              <w:rPr>
                <w:rFonts w:hint="eastAsia" w:ascii="宋体" w:hAnsi="宋体" w:eastAsia="宋体" w:cs="宋体"/>
                <w:color w:val="333333"/>
                <w:kern w:val="0"/>
                <w:sz w:val="20"/>
                <w:szCs w:val="20"/>
              </w:rPr>
              <w:br w:type="textWrapping"/>
            </w:r>
          </w:p>
        </w:tc>
      </w:tr>
      <w:tr>
        <w:tblPrEx>
          <w:tblCellMar>
            <w:top w:w="15" w:type="dxa"/>
            <w:left w:w="15" w:type="dxa"/>
            <w:bottom w:w="15" w:type="dxa"/>
            <w:right w:w="15" w:type="dxa"/>
          </w:tblCellMar>
        </w:tblPrEx>
        <w:tc>
          <w:tcPr>
            <w:tcW w:w="4932" w:type="dxa"/>
            <w:gridSpan w:val="3"/>
            <w:tcBorders>
              <w:top w:val="nil"/>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 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00" w:lineRule="atLeast"/>
              <w:rPr>
                <w:rFonts w:ascii="宋体" w:hAnsi="宋体" w:eastAsia="宋体" w:cs="宋体"/>
                <w:color w:val="333333"/>
                <w:kern w:val="0"/>
                <w:sz w:val="24"/>
                <w:szCs w:val="24"/>
              </w:rPr>
            </w:pPr>
            <w:r>
              <w:rPr>
                <w:rFonts w:ascii="Calibri" w:hAnsi="Calibri" w:eastAsia="宋体" w:cs="Calibri"/>
                <w:color w:val="333333"/>
                <w:kern w:val="0"/>
                <w:sz w:val="20"/>
                <w:szCs w:val="20"/>
              </w:rPr>
              <w:t>0</w:t>
            </w:r>
          </w:p>
        </w:tc>
        <w:tc>
          <w:tcPr>
            <w:tcW w:w="688" w:type="dxa"/>
            <w:tcBorders>
              <w:top w:val="nil"/>
              <w:left w:val="nil"/>
              <w:bottom w:val="single" w:color="auto" w:sz="8" w:space="0"/>
              <w:right w:val="single" w:color="auto" w:sz="8" w:space="0"/>
            </w:tcBorders>
            <w:shd w:val="clear" w:color="auto" w:fill="F8F8F8"/>
            <w:tcMar>
              <w:top w:w="0" w:type="dxa"/>
              <w:left w:w="57" w:type="dxa"/>
              <w:bottom w:w="0" w:type="dxa"/>
              <w:right w:w="57" w:type="dxa"/>
            </w:tcMar>
          </w:tcPr>
          <w:p>
            <w:pPr>
              <w:widowControl/>
              <w:wordWrap w:val="0"/>
              <w:spacing w:line="500" w:lineRule="atLeast"/>
              <w:rPr>
                <w:rFonts w:ascii="宋体" w:hAnsi="宋体" w:eastAsia="宋体" w:cs="宋体"/>
                <w:color w:val="333333"/>
                <w:kern w:val="0"/>
                <w:sz w:val="24"/>
                <w:szCs w:val="24"/>
              </w:rPr>
            </w:pPr>
            <w:r>
              <w:rPr>
                <w:rFonts w:hint="eastAsia" w:ascii="宋体" w:hAnsi="宋体" w:eastAsia="宋体" w:cs="宋体"/>
                <w:color w:val="333333"/>
                <w:kern w:val="0"/>
                <w:sz w:val="24"/>
                <w:szCs w:val="24"/>
              </w:rPr>
              <w:t>0</w:t>
            </w:r>
          </w:p>
        </w:tc>
      </w:tr>
    </w:tbl>
    <w:p>
      <w:pPr>
        <w:widowControl/>
        <w:ind w:firstLine="640" w:firstLineChars="200"/>
        <w:rPr>
          <w:rFonts w:ascii="宋体" w:hAnsi="宋体" w:eastAsia="宋体" w:cs="宋体"/>
          <w:kern w:val="0"/>
          <w:sz w:val="24"/>
          <w:szCs w:val="24"/>
        </w:rPr>
      </w:pPr>
      <w:r>
        <w:rPr>
          <w:rFonts w:hint="eastAsia" w:ascii="黑体" w:hAnsi="黑体" w:eastAsia="黑体" w:cs="宋体"/>
          <w:sz w:val="32"/>
          <w:szCs w:val="32"/>
        </w:rPr>
        <w:t>四、因政府信息公开工作被申请行政复议、提起行政诉讼的情况</w:t>
      </w:r>
    </w:p>
    <w:tbl>
      <w:tblPr>
        <w:tblStyle w:val="2"/>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after="180"/>
              <w:jc w:val="center"/>
              <w:rPr>
                <w:rFonts w:ascii="宋体" w:hAnsi="宋体" w:eastAsia="宋体" w:cs="宋体"/>
                <w:kern w:val="0"/>
                <w:sz w:val="24"/>
                <w:szCs w:val="24"/>
              </w:rPr>
            </w:pPr>
            <w:r>
              <w:rPr>
                <w:rFonts w:hint="eastAsia" w:ascii="仿宋" w:hAnsi="仿宋" w:eastAsia="仿宋"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24"/>
                <w:szCs w:val="24"/>
              </w:rPr>
            </w:pPr>
            <w:r>
              <w:rPr>
                <w:rFonts w:hint="eastAsia" w:ascii="仿宋" w:hAnsi="仿宋" w:eastAsia="仿宋" w:cs="宋体"/>
                <w:kern w:val="0"/>
                <w:sz w:val="20"/>
                <w:szCs w:val="20"/>
              </w:rPr>
              <w:t>0</w:t>
            </w:r>
          </w:p>
        </w:tc>
      </w:tr>
    </w:tbl>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黑体" w:hAnsi="黑体" w:eastAsia="黑体" w:cs="宋体"/>
          <w:sz w:val="32"/>
          <w:szCs w:val="32"/>
        </w:rPr>
        <w:t>五、存在的主要问题及改进情况</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仿宋" w:hAnsi="仿宋" w:eastAsia="仿宋" w:cs="宋体"/>
          <w:kern w:val="0"/>
          <w:sz w:val="32"/>
          <w:szCs w:val="32"/>
        </w:rPr>
        <w:t>（一）存在的主要问题：一是政策解读方面仍需加强，形式单一；二是政务公开重表面内容，轻实质内容。公开内容停于浅表，深层次问题公开少，事后公开多，事前、事中公开少。</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仿宋" w:hAnsi="仿宋" w:eastAsia="仿宋" w:cs="宋体"/>
          <w:kern w:val="0"/>
          <w:sz w:val="32"/>
          <w:szCs w:val="32"/>
        </w:rPr>
        <w:t>（二）改进情况：一是推进政策解读与原文关联，运用图片、视频等多形式对文件进行解读，提升政策解读的规范性、趣味性。二是加强及时公开，拓宽公开内容。群众关心的问题及时公开，接受群众的监督，把老百姓关心的热点、难点问题讲明白，讲细致。</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黑体" w:hAnsi="黑体" w:eastAsia="黑体" w:cs="宋体"/>
          <w:sz w:val="32"/>
          <w:szCs w:val="32"/>
        </w:rPr>
        <w:t>六、其他需要报告的事项</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仿宋" w:hAnsi="仿宋" w:eastAsia="仿宋" w:cs="宋体"/>
          <w:sz w:val="32"/>
          <w:szCs w:val="32"/>
        </w:rPr>
        <w:t>根据《国务院办公厅关于印发&lt;政府信息公开信息处理费管理办法&gt;的通知》（国办〔2020〕109号）规定的按件、按量收费标准，本年度没有产生信息公开处理费。</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5YjBlYjViNTViOTU5OTUyOGI2YjQ5Y2JjYWI4NDAifQ=="/>
  </w:docVars>
  <w:rsids>
    <w:rsidRoot w:val="00050ADA"/>
    <w:rsid w:val="00050ADA"/>
    <w:rsid w:val="001000D9"/>
    <w:rsid w:val="002009A4"/>
    <w:rsid w:val="00280A76"/>
    <w:rsid w:val="0049451B"/>
    <w:rsid w:val="0098449C"/>
    <w:rsid w:val="00993319"/>
    <w:rsid w:val="18B506EF"/>
    <w:rsid w:val="460A2104"/>
    <w:rsid w:val="4E850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p"/>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417</Words>
  <Characters>2382</Characters>
  <Lines>19</Lines>
  <Paragraphs>5</Paragraphs>
  <TotalTime>0</TotalTime>
  <ScaleCrop>false</ScaleCrop>
  <LinksUpToDate>false</LinksUpToDate>
  <CharactersWithSpaces>2794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2023-12-11T09:14:00Z</dcterms:created>
  <dc:creator>微软用户</dc:creator>
  <cp:lastModifiedBy>小八啊</cp:lastModifiedBy>
  <dcterms:modified xsi:type="dcterms:W3CDTF">2024-01-10T08:30:21Z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B6E9169CDEFD46A8AA413B3C681B368C_13</vt:lpwstr>
  </property>
</Properties>
</file>