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44"/>
          <w:szCs w:val="44"/>
        </w:rPr>
      </w:pPr>
      <w:r>
        <w:rPr>
          <w:rFonts w:hint="eastAsia" w:ascii="仿宋_GB2312" w:eastAsia="仿宋_GB2312"/>
          <w:sz w:val="44"/>
          <w:szCs w:val="44"/>
        </w:rPr>
        <w:t>天长市审计局2022年政府信息公开工作</w:t>
      </w:r>
    </w:p>
    <w:p>
      <w:pPr>
        <w:jc w:val="center"/>
        <w:rPr>
          <w:rFonts w:ascii="仿宋_GB2312" w:eastAsia="仿宋_GB2312"/>
          <w:sz w:val="44"/>
          <w:szCs w:val="44"/>
        </w:rPr>
      </w:pPr>
      <w:r>
        <w:rPr>
          <w:rFonts w:hint="eastAsia" w:ascii="仿宋_GB2312" w:eastAsia="仿宋_GB2312"/>
          <w:sz w:val="44"/>
          <w:szCs w:val="44"/>
        </w:rPr>
        <w:t>年度报告</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bookmarkStart w:id="0" w:name="OLE_LINK1"/>
      <w:r>
        <w:rPr>
          <w:rFonts w:hint="eastAsia" w:ascii="仿宋_GB2312" w:eastAsia="仿宋_GB2312"/>
          <w:sz w:val="32"/>
          <w:szCs w:val="32"/>
        </w:rPr>
        <w:t>根据《中华人民共和国政府信息公开条例》（国务院令第711号）和《国务院办公厅政府信息与政务公开办公室关于政府信息公开工作年度报告有关事项的通知》（国办公开办函〔2021〕30号）要求，结合工作实际，形成我局2022年政府信息公开工作年度报告。全文由政府信息公开总体情况、主动公开政府信息情况、收到和处理政府信息公开申请情况、因政府信息公开工作被申请行政复议、提起行政诉讼情况、存在主要问题和改进情况、其它需要报告等六部分组成。本报告中所列数据的统计期限自2022年1月1日起至2022年12月31日止。如有疑问，请与天长市审计局办公室联系。（地址：天长市炳辉中路168号商务中心大楼四楼审计局办公室422室，邮编：239300，电话:0550-7770437）。</w:t>
      </w:r>
    </w:p>
    <w:p>
      <w:pPr>
        <w:ind w:firstLine="640" w:firstLineChars="200"/>
        <w:rPr>
          <w:rFonts w:ascii="仿宋_GB2312" w:eastAsia="仿宋_GB2312"/>
          <w:sz w:val="32"/>
          <w:szCs w:val="32"/>
        </w:rPr>
      </w:pPr>
      <w:r>
        <w:rPr>
          <w:rFonts w:hint="eastAsia" w:ascii="仿宋_GB2312" w:eastAsia="仿宋_GB2312"/>
          <w:sz w:val="32"/>
          <w:szCs w:val="32"/>
        </w:rPr>
        <w:t>一、总体情况</w:t>
      </w:r>
    </w:p>
    <w:p>
      <w:pPr>
        <w:ind w:firstLine="800" w:firstLineChars="250"/>
        <w:rPr>
          <w:rFonts w:ascii="仿宋_GB2312" w:eastAsia="仿宋_GB2312"/>
          <w:sz w:val="32"/>
          <w:szCs w:val="32"/>
        </w:rPr>
      </w:pPr>
      <w:r>
        <w:rPr>
          <w:rFonts w:hint="eastAsia" w:ascii="仿宋_GB2312" w:eastAsia="仿宋_GB2312"/>
          <w:sz w:val="32"/>
          <w:szCs w:val="32"/>
        </w:rPr>
        <w:t xml:space="preserve">2022年，天长市审计局政务信息网上公开工作严格按照《中华人民共和国政府信息公开条例》要求，遵循“以公开为原则，不公开为例外”的原则，将政务公开工作作为保障公众权益的重要工作来抓，加强领导、明确责任、主动作为，平稳有序推进政府信息公开工作。 </w:t>
      </w:r>
    </w:p>
    <w:p>
      <w:pPr>
        <w:ind w:firstLine="640" w:firstLineChars="200"/>
        <w:rPr>
          <w:rFonts w:ascii="仿宋_GB2312" w:eastAsia="仿宋_GB2312"/>
          <w:sz w:val="32"/>
          <w:szCs w:val="32"/>
        </w:rPr>
      </w:pPr>
      <w:r>
        <w:rPr>
          <w:rFonts w:hint="eastAsia" w:ascii="仿宋_GB2312" w:eastAsia="仿宋_GB2312"/>
          <w:sz w:val="32"/>
          <w:szCs w:val="32"/>
        </w:rPr>
        <w:t>（一）主动公开情况</w:t>
      </w:r>
    </w:p>
    <w:p>
      <w:pPr>
        <w:ind w:firstLine="640" w:firstLineChars="200"/>
        <w:rPr>
          <w:rFonts w:ascii="仿宋_GB2312" w:eastAsia="仿宋_GB2312"/>
          <w:sz w:val="32"/>
          <w:szCs w:val="32"/>
        </w:rPr>
      </w:pPr>
      <w:r>
        <w:rPr>
          <w:rFonts w:hint="eastAsia" w:ascii="仿宋_GB2312" w:eastAsia="仿宋_GB2312"/>
          <w:sz w:val="32"/>
          <w:szCs w:val="32"/>
        </w:rPr>
        <w:t>我局结合审计工作实际，明确本部门政务公开工作的目标和相关工作任务，规范政务信息公开的内容和范围，2022年主动公开各类信息228条。</w:t>
      </w:r>
      <w:r>
        <w:rPr>
          <w:rFonts w:hint="eastAsia" w:ascii="仿宋" w:hAnsi="仿宋" w:eastAsia="仿宋" w:cs="Calibri"/>
          <w:color w:val="333333"/>
          <w:sz w:val="32"/>
          <w:szCs w:val="32"/>
        </w:rPr>
        <w:t>加强基层政务公开标准化规范化专题建设，</w:t>
      </w:r>
      <w:r>
        <w:rPr>
          <w:rFonts w:hint="eastAsia" w:ascii="仿宋_GB2312" w:eastAsia="仿宋_GB2312"/>
          <w:sz w:val="32"/>
          <w:szCs w:val="32"/>
        </w:rPr>
        <w:t>在部门网站“政府信息公开”专栏，及时、准确分类发布审计公开、预算决算、政府采购、机构领导等法定主动公开政府信息。</w:t>
      </w:r>
    </w:p>
    <w:p>
      <w:pPr>
        <w:ind w:firstLine="640" w:firstLineChars="200"/>
        <w:rPr>
          <w:rFonts w:ascii="仿宋_GB2312" w:eastAsia="仿宋_GB2312"/>
          <w:sz w:val="32"/>
          <w:szCs w:val="32"/>
        </w:rPr>
      </w:pPr>
      <w:r>
        <w:rPr>
          <w:rFonts w:hint="eastAsia" w:ascii="仿宋_GB2312" w:eastAsia="仿宋_GB2312"/>
          <w:sz w:val="32"/>
          <w:szCs w:val="32"/>
        </w:rPr>
        <w:t>（二）依申请公开办理情况</w:t>
      </w:r>
    </w:p>
    <w:p>
      <w:pPr>
        <w:ind w:firstLine="640" w:firstLineChars="200"/>
        <w:rPr>
          <w:rFonts w:ascii="仿宋_GB2312" w:eastAsia="仿宋_GB2312"/>
          <w:sz w:val="32"/>
          <w:szCs w:val="32"/>
        </w:rPr>
      </w:pPr>
      <w:r>
        <w:rPr>
          <w:rFonts w:hint="eastAsia" w:ascii="仿宋_GB2312" w:eastAsia="仿宋_GB2312"/>
          <w:sz w:val="32"/>
          <w:szCs w:val="32"/>
        </w:rPr>
        <w:t>2022年，我局未收到公开政府信息的申请。</w:t>
      </w:r>
    </w:p>
    <w:p>
      <w:pPr>
        <w:pStyle w:val="4"/>
        <w:shd w:val="clear" w:color="auto" w:fill="F8F8F8"/>
        <w:spacing w:line="480" w:lineRule="auto"/>
        <w:ind w:firstLine="64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（三）政府信息管理情况</w:t>
      </w:r>
    </w:p>
    <w:p>
      <w:pPr>
        <w:pStyle w:val="4"/>
        <w:shd w:val="clear" w:color="auto" w:fill="F8F8F8"/>
        <w:spacing w:line="480" w:lineRule="auto"/>
        <w:ind w:firstLine="640"/>
        <w:jc w:val="both"/>
        <w:rPr>
          <w:rFonts w:ascii="仿宋_GB2312" w:eastAsia="仿宋_GB2312"/>
          <w:sz w:val="32"/>
          <w:szCs w:val="32"/>
        </w:rPr>
      </w:pPr>
      <w:r>
        <w:rPr>
          <w:rFonts w:hint="eastAsia" w:ascii="仿宋_GB2312" w:eastAsia="仿宋_GB2312" w:hAnsiTheme="minorHAnsi" w:cstheme="minorBidi"/>
          <w:kern w:val="2"/>
          <w:sz w:val="32"/>
          <w:szCs w:val="32"/>
        </w:rPr>
        <w:t>我局高度重视政府信息与政务公开工作，把该项工作列入局重要议事日程，作为各项工作推进实施的一项重要步骤。严格按照《中华人民共和国政府信息公开条例》要求，建立健全政府信息管理动态调整机制。对于部门生成的最新信息，在严格执行信息发布相关审核制度的前提下及时予以公布，对于已失效或内容有较大更改的及时调整。同时，</w:t>
      </w:r>
      <w:r>
        <w:rPr>
          <w:rFonts w:hint="eastAsia" w:ascii="仿宋_GB2312" w:eastAsia="仿宋_GB2312"/>
          <w:sz w:val="32"/>
          <w:szCs w:val="32"/>
        </w:rPr>
        <w:t>不断优化完善信息公开审核发布、信息公开保密审查、依申请公开等制度</w:t>
      </w:r>
      <w:r>
        <w:rPr>
          <w:rFonts w:hint="eastAsia" w:ascii="仿宋_GB2312" w:eastAsia="仿宋_GB2312" w:hAnsiTheme="minorHAnsi" w:cstheme="minorBidi"/>
          <w:kern w:val="2"/>
          <w:sz w:val="32"/>
          <w:szCs w:val="32"/>
        </w:rPr>
        <w:t>，确保公开信息的及时性、有效性、准确性。</w:t>
      </w:r>
    </w:p>
    <w:p>
      <w:pPr>
        <w:pStyle w:val="4"/>
        <w:shd w:val="clear" w:color="auto" w:fill="F8F8F8"/>
        <w:spacing w:line="480" w:lineRule="auto"/>
        <w:ind w:firstLine="640"/>
        <w:jc w:val="both"/>
        <w:rPr>
          <w:rFonts w:ascii="仿宋_GB2312" w:eastAsia="仿宋_GB2312"/>
          <w:sz w:val="32"/>
          <w:szCs w:val="32"/>
        </w:rPr>
      </w:pPr>
      <w:r>
        <w:rPr>
          <w:rFonts w:hint="eastAsia" w:ascii="仿宋_GB2312" w:eastAsia="仿宋_GB2312"/>
          <w:sz w:val="32"/>
          <w:szCs w:val="32"/>
        </w:rPr>
        <w:t>（四）政府信息公开平台建设</w:t>
      </w:r>
    </w:p>
    <w:p>
      <w:pPr>
        <w:ind w:firstLine="640" w:firstLineChars="200"/>
        <w:rPr>
          <w:rFonts w:ascii="仿宋_GB2312" w:hAnsi="宋体" w:eastAsia="仿宋_GB2312" w:cs="宋体"/>
          <w:kern w:val="0"/>
          <w:sz w:val="32"/>
          <w:szCs w:val="32"/>
        </w:rPr>
      </w:pPr>
      <w:r>
        <w:rPr>
          <w:rFonts w:hint="eastAsia" w:ascii="仿宋_GB2312" w:eastAsia="仿宋_GB2312"/>
          <w:sz w:val="32"/>
          <w:szCs w:val="32"/>
        </w:rPr>
        <w:t>今年以来，我局进一步完善政府集约化网站平台内容，做好各类信息的内容发布。依托天长市人民政府网站政务信息公开专区，公开年度审计项目计划、重大政策跟踪落实审计结果、应急管理、行政权力运行等内容，使广大社会公众能够及时了解到我局相关信息。</w:t>
      </w:r>
      <w:r>
        <w:rPr>
          <w:rFonts w:hint="eastAsia" w:ascii="仿宋_GB2312" w:hAnsi="宋体" w:eastAsia="仿宋_GB2312" w:cs="宋体"/>
          <w:kern w:val="0"/>
          <w:sz w:val="32"/>
          <w:szCs w:val="32"/>
        </w:rPr>
        <w:t>2022年，我局规范使用政府网站，政府信息公开运行情况正常。</w:t>
      </w:r>
    </w:p>
    <w:p>
      <w:pPr>
        <w:ind w:firstLine="640" w:firstLineChars="200"/>
        <w:rPr>
          <w:rFonts w:ascii="仿宋_GB2312" w:eastAsia="仿宋_GB2312"/>
          <w:sz w:val="32"/>
          <w:szCs w:val="32"/>
        </w:rPr>
      </w:pPr>
      <w:r>
        <w:rPr>
          <w:rFonts w:hint="eastAsia" w:ascii="仿宋_GB2312" w:eastAsia="仿宋_GB2312"/>
          <w:sz w:val="32"/>
          <w:szCs w:val="32"/>
        </w:rPr>
        <w:t>（五）监督保障情况</w:t>
      </w:r>
    </w:p>
    <w:p>
      <w:pPr>
        <w:ind w:firstLine="640" w:firstLineChars="200"/>
        <w:rPr>
          <w:rFonts w:ascii="仿宋_GB2312" w:eastAsia="仿宋_GB2312"/>
          <w:sz w:val="32"/>
          <w:szCs w:val="32"/>
        </w:rPr>
      </w:pPr>
      <w:r>
        <w:rPr>
          <w:rFonts w:hint="eastAsia" w:ascii="仿宋_GB2312" w:eastAsia="仿宋_GB2312"/>
          <w:sz w:val="32"/>
          <w:szCs w:val="32"/>
        </w:rPr>
        <w:t>我局围绕政务公开中心工作，结合工作实际，明确工作任务，切实抓好落实。定期研究分析工作中存在的问题，根据每季度第三方测评结果，抓好整改措施，对标优秀单位，持续优化我单位政务信息公开工作。同时，积极参加全市政府信息依申请公开等工作业务培训，不断提升业务办理能力，确保政府信息公开答复依法依规，推动工作能力提升。加强考核评估，按照政务公开考核目标，对网站和平台的信息发布、信息审核、社会评议进行考核，并定期抽查</w:t>
      </w:r>
      <w:r>
        <w:rPr>
          <w:rFonts w:hint="eastAsia" w:ascii="仿宋_GB2312" w:eastAsia="仿宋_GB2312"/>
          <w:sz w:val="32"/>
          <w:szCs w:val="32"/>
          <w:lang w:eastAsia="zh-CN"/>
        </w:rPr>
        <w:t>，</w:t>
      </w:r>
      <w:r>
        <w:rPr>
          <w:rFonts w:hint="eastAsia" w:ascii="仿宋_GB2312" w:eastAsia="仿宋_GB2312"/>
          <w:sz w:val="32"/>
          <w:szCs w:val="32"/>
          <w:lang w:val="en-US" w:eastAsia="zh-CN"/>
        </w:rPr>
        <w:t>责任到人</w:t>
      </w:r>
      <w:r>
        <w:rPr>
          <w:rFonts w:hint="eastAsia" w:ascii="仿宋_GB2312" w:eastAsia="仿宋_GB2312"/>
          <w:sz w:val="32"/>
          <w:szCs w:val="32"/>
        </w:rPr>
        <w:t>。</w:t>
      </w:r>
    </w:p>
    <w:p>
      <w:pPr>
        <w:widowControl/>
        <w:shd w:val="clear" w:color="auto" w:fill="FFFFFF"/>
        <w:spacing w:line="480" w:lineRule="auto"/>
        <w:ind w:firstLine="643"/>
        <w:rPr>
          <w:rFonts w:ascii="Calibri" w:hAnsi="Calibri" w:eastAsia="宋体" w:cs="Calibri"/>
          <w:color w:val="333333"/>
          <w:kern w:val="0"/>
          <w:szCs w:val="21"/>
        </w:rPr>
      </w:pPr>
      <w:r>
        <w:rPr>
          <w:rFonts w:hint="eastAsia" w:ascii="仿宋" w:hAnsi="仿宋" w:eastAsia="仿宋" w:cs="Calibri"/>
          <w:b/>
          <w:bCs/>
          <w:color w:val="000000"/>
          <w:kern w:val="0"/>
          <w:sz w:val="32"/>
          <w:szCs w:val="32"/>
          <w:shd w:val="clear" w:color="auto" w:fill="FFFFFF"/>
        </w:rPr>
        <w:t>二、主动公开政府信息情况</w:t>
      </w:r>
    </w:p>
    <w:p>
      <w:pPr>
        <w:widowControl/>
        <w:shd w:val="clear" w:color="auto" w:fill="FFFFFF"/>
        <w:spacing w:line="480" w:lineRule="auto"/>
        <w:ind w:firstLine="480"/>
        <w:rPr>
          <w:rFonts w:ascii="Calibri" w:hAnsi="Calibri" w:eastAsia="宋体" w:cs="Calibri"/>
          <w:color w:val="333333"/>
          <w:kern w:val="0"/>
          <w:szCs w:val="21"/>
        </w:rPr>
      </w:pPr>
      <w:r>
        <w:rPr>
          <w:rFonts w:hint="eastAsia" w:ascii="宋体" w:hAnsi="宋体" w:eastAsia="宋体" w:cs="宋体"/>
          <w:color w:val="333333"/>
          <w:kern w:val="0"/>
          <w:sz w:val="24"/>
          <w:szCs w:val="24"/>
        </w:rPr>
        <w:t> </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cantSplit/>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000000"/>
                <w:kern w:val="0"/>
                <w:sz w:val="20"/>
                <w:szCs w:val="20"/>
              </w:rPr>
              <w:t>第二十条第（一）项</w:t>
            </w:r>
          </w:p>
        </w:tc>
      </w:tr>
      <w:tr>
        <w:tblPrEx>
          <w:tblCellMar>
            <w:top w:w="0" w:type="dxa"/>
            <w:left w:w="0" w:type="dxa"/>
            <w:bottom w:w="0" w:type="dxa"/>
            <w:right w:w="0" w:type="dxa"/>
          </w:tblCellMar>
        </w:tblPrEx>
        <w:trPr>
          <w:cantSplit/>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000000"/>
                <w:kern w:val="0"/>
                <w:sz w:val="20"/>
                <w:szCs w:val="20"/>
              </w:rPr>
              <w:t>信息内容</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000000"/>
                <w:kern w:val="0"/>
                <w:sz w:val="20"/>
                <w:szCs w:val="20"/>
              </w:rPr>
              <w:t>本年</w:t>
            </w:r>
            <w:r>
              <w:rPr>
                <w:rFonts w:hint="eastAsia" w:ascii="仿宋" w:hAnsi="仿宋" w:eastAsia="仿宋" w:cs="Calibri"/>
                <w:color w:val="333333"/>
                <w:kern w:val="0"/>
                <w:sz w:val="20"/>
                <w:szCs w:val="20"/>
              </w:rPr>
              <w:t>制发件数</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000000"/>
                <w:kern w:val="0"/>
                <w:sz w:val="20"/>
                <w:szCs w:val="20"/>
              </w:rPr>
              <w:t>本年废止件数</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000000"/>
                <w:kern w:val="0"/>
                <w:sz w:val="20"/>
                <w:szCs w:val="20"/>
              </w:rPr>
              <w:t>现行有效件</w:t>
            </w:r>
            <w:r>
              <w:rPr>
                <w:rFonts w:hint="eastAsia" w:ascii="仿宋" w:hAnsi="仿宋" w:eastAsia="仿宋" w:cs="Calibri"/>
                <w:color w:val="333333"/>
                <w:kern w:val="0"/>
                <w:sz w:val="20"/>
                <w:szCs w:val="20"/>
              </w:rPr>
              <w:t>数</w:t>
            </w:r>
          </w:p>
        </w:tc>
      </w:tr>
      <w:tr>
        <w:tblPrEx>
          <w:tblCellMar>
            <w:top w:w="0" w:type="dxa"/>
            <w:left w:w="0" w:type="dxa"/>
            <w:bottom w:w="0" w:type="dxa"/>
            <w:right w:w="0" w:type="dxa"/>
          </w:tblCellMar>
        </w:tblPrEx>
        <w:trPr>
          <w:cantSplit/>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000000"/>
                <w:kern w:val="0"/>
                <w:sz w:val="20"/>
                <w:szCs w:val="20"/>
              </w:rPr>
              <w:t>　　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宋体" w:hAnsi="宋体" w:eastAsia="宋体" w:cs="Calibri"/>
                <w:color w:val="000000"/>
                <w:kern w:val="0"/>
                <w:sz w:val="20"/>
                <w:szCs w:val="20"/>
              </w:rPr>
              <w:t> </w:t>
            </w:r>
            <w:r>
              <w:rPr>
                <w:rFonts w:hint="eastAsia" w:ascii="仿宋" w:hAnsi="仿宋" w:eastAsia="仿宋" w:cs="Calibri"/>
                <w:color w:val="000000"/>
                <w:kern w:val="0"/>
                <w:sz w:val="20"/>
                <w:szCs w:val="20"/>
              </w:rPr>
              <w:t>　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宋体" w:hAnsi="宋体" w:eastAsia="宋体" w:cs="Calibri"/>
                <w:color w:val="333333"/>
                <w:kern w:val="0"/>
                <w:szCs w:val="21"/>
              </w:rPr>
              <w:t> </w:t>
            </w:r>
            <w:r>
              <w:rPr>
                <w:rFonts w:hint="eastAsia" w:ascii="仿宋" w:hAnsi="仿宋" w:eastAsia="仿宋" w:cs="Calibri"/>
                <w:color w:val="333333"/>
                <w:kern w:val="0"/>
                <w:szCs w:val="21"/>
              </w:rPr>
              <w:t>0</w:t>
            </w:r>
          </w:p>
        </w:tc>
      </w:tr>
      <w:tr>
        <w:tblPrEx>
          <w:tblCellMar>
            <w:top w:w="0" w:type="dxa"/>
            <w:left w:w="0" w:type="dxa"/>
            <w:bottom w:w="0" w:type="dxa"/>
            <w:right w:w="0" w:type="dxa"/>
          </w:tblCellMar>
        </w:tblPrEx>
        <w:trPr>
          <w:cantSplit/>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000000"/>
                <w:kern w:val="0"/>
                <w:sz w:val="20"/>
                <w:szCs w:val="20"/>
              </w:rPr>
              <w:t>　　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宋体" w:hAnsi="宋体" w:eastAsia="宋体" w:cs="Calibri"/>
                <w:color w:val="000000"/>
                <w:kern w:val="0"/>
                <w:sz w:val="20"/>
                <w:szCs w:val="20"/>
              </w:rPr>
              <w:t> </w:t>
            </w:r>
            <w:r>
              <w:rPr>
                <w:rFonts w:hint="eastAsia" w:ascii="仿宋" w:hAnsi="仿宋" w:eastAsia="仿宋" w:cs="Calibri"/>
                <w:color w:val="000000"/>
                <w:kern w:val="0"/>
                <w:sz w:val="20"/>
                <w:szCs w:val="20"/>
              </w:rPr>
              <w:t>　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宋体" w:hAnsi="宋体" w:eastAsia="宋体" w:cs="Calibri"/>
                <w:color w:val="333333"/>
                <w:kern w:val="0"/>
                <w:szCs w:val="21"/>
              </w:rPr>
              <w:t> </w:t>
            </w:r>
            <w:r>
              <w:rPr>
                <w:rFonts w:hint="eastAsia" w:ascii="仿宋" w:hAnsi="仿宋" w:eastAsia="仿宋" w:cs="Calibri"/>
                <w:color w:val="333333"/>
                <w:kern w:val="0"/>
                <w:szCs w:val="21"/>
              </w:rPr>
              <w:t>0</w:t>
            </w:r>
          </w:p>
        </w:tc>
      </w:tr>
      <w:tr>
        <w:tblPrEx>
          <w:tblCellMar>
            <w:top w:w="0" w:type="dxa"/>
            <w:left w:w="0" w:type="dxa"/>
            <w:bottom w:w="0" w:type="dxa"/>
            <w:right w:w="0" w:type="dxa"/>
          </w:tblCellMar>
        </w:tblPrEx>
        <w:trPr>
          <w:cantSplit/>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000000"/>
                <w:kern w:val="0"/>
                <w:sz w:val="20"/>
                <w:szCs w:val="20"/>
              </w:rPr>
              <w:t>第二十条第（五）项</w:t>
            </w:r>
          </w:p>
        </w:tc>
      </w:tr>
      <w:tr>
        <w:tblPrEx>
          <w:tblCellMar>
            <w:top w:w="0" w:type="dxa"/>
            <w:left w:w="0" w:type="dxa"/>
            <w:bottom w:w="0" w:type="dxa"/>
            <w:right w:w="0" w:type="dxa"/>
          </w:tblCellMar>
        </w:tblPrEx>
        <w:trPr>
          <w:cantSplit/>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000000"/>
                <w:kern w:val="0"/>
                <w:sz w:val="20"/>
                <w:szCs w:val="20"/>
              </w:rPr>
              <w:t>本年处理决定数量</w:t>
            </w:r>
          </w:p>
        </w:tc>
      </w:tr>
      <w:tr>
        <w:tblPrEx>
          <w:tblCellMar>
            <w:top w:w="0" w:type="dxa"/>
            <w:left w:w="0" w:type="dxa"/>
            <w:bottom w:w="0" w:type="dxa"/>
            <w:right w:w="0" w:type="dxa"/>
          </w:tblCellMar>
        </w:tblPrEx>
        <w:trPr>
          <w:cantSplit/>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宋体" w:hAnsi="宋体" w:eastAsia="宋体" w:cs="Calibri"/>
                <w:color w:val="333333"/>
                <w:kern w:val="0"/>
                <w:szCs w:val="21"/>
              </w:rPr>
              <w:t> </w:t>
            </w:r>
            <w:r>
              <w:rPr>
                <w:rFonts w:hint="eastAsia" w:ascii="仿宋" w:hAnsi="仿宋" w:eastAsia="仿宋" w:cs="Calibri"/>
                <w:color w:val="333333"/>
                <w:kern w:val="0"/>
                <w:szCs w:val="21"/>
              </w:rPr>
              <w:t>0</w:t>
            </w:r>
          </w:p>
        </w:tc>
      </w:tr>
      <w:tr>
        <w:tblPrEx>
          <w:tblCellMar>
            <w:top w:w="0" w:type="dxa"/>
            <w:left w:w="0" w:type="dxa"/>
            <w:bottom w:w="0" w:type="dxa"/>
            <w:right w:w="0" w:type="dxa"/>
          </w:tblCellMar>
        </w:tblPrEx>
        <w:trPr>
          <w:cantSplit/>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000000"/>
                <w:kern w:val="0"/>
                <w:sz w:val="20"/>
                <w:szCs w:val="20"/>
              </w:rPr>
              <w:t>第二十条第（六）项</w:t>
            </w:r>
          </w:p>
        </w:tc>
      </w:tr>
      <w:tr>
        <w:tblPrEx>
          <w:tblCellMar>
            <w:top w:w="0" w:type="dxa"/>
            <w:left w:w="0" w:type="dxa"/>
            <w:bottom w:w="0" w:type="dxa"/>
            <w:right w:w="0" w:type="dxa"/>
          </w:tblCellMar>
        </w:tblPrEx>
        <w:trPr>
          <w:cantSplit/>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000000"/>
                <w:kern w:val="0"/>
                <w:sz w:val="20"/>
                <w:szCs w:val="20"/>
              </w:rPr>
              <w:t>本年处理决定数量</w:t>
            </w:r>
          </w:p>
        </w:tc>
      </w:tr>
      <w:tr>
        <w:tblPrEx>
          <w:tblCellMar>
            <w:top w:w="0" w:type="dxa"/>
            <w:left w:w="0" w:type="dxa"/>
            <w:bottom w:w="0" w:type="dxa"/>
            <w:right w:w="0" w:type="dxa"/>
          </w:tblCellMar>
        </w:tblPrEx>
        <w:trPr>
          <w:cantSplit/>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000000"/>
                <w:kern w:val="0"/>
                <w:sz w:val="20"/>
                <w:szCs w:val="20"/>
              </w:rPr>
              <w:t>　0</w:t>
            </w:r>
          </w:p>
        </w:tc>
      </w:tr>
      <w:tr>
        <w:tblPrEx>
          <w:tblCellMar>
            <w:top w:w="0" w:type="dxa"/>
            <w:left w:w="0" w:type="dxa"/>
            <w:bottom w:w="0" w:type="dxa"/>
            <w:right w:w="0" w:type="dxa"/>
          </w:tblCellMar>
        </w:tblPrEx>
        <w:trPr>
          <w:cantSplit/>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000000"/>
                <w:kern w:val="0"/>
                <w:sz w:val="20"/>
                <w:szCs w:val="20"/>
              </w:rPr>
              <w:t>　0</w:t>
            </w:r>
          </w:p>
        </w:tc>
      </w:tr>
      <w:tr>
        <w:tblPrEx>
          <w:tblCellMar>
            <w:top w:w="0" w:type="dxa"/>
            <w:left w:w="0" w:type="dxa"/>
            <w:bottom w:w="0" w:type="dxa"/>
            <w:right w:w="0" w:type="dxa"/>
          </w:tblCellMar>
        </w:tblPrEx>
        <w:trPr>
          <w:cantSplit/>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000000"/>
                <w:kern w:val="0"/>
                <w:sz w:val="20"/>
                <w:szCs w:val="20"/>
              </w:rPr>
              <w:t>第二十条第（八）项</w:t>
            </w:r>
          </w:p>
        </w:tc>
      </w:tr>
      <w:tr>
        <w:tblPrEx>
          <w:tblCellMar>
            <w:top w:w="0" w:type="dxa"/>
            <w:left w:w="0" w:type="dxa"/>
            <w:bottom w:w="0" w:type="dxa"/>
            <w:right w:w="0" w:type="dxa"/>
          </w:tblCellMar>
        </w:tblPrEx>
        <w:trPr>
          <w:cantSplit/>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000000"/>
                <w:kern w:val="0"/>
                <w:sz w:val="20"/>
                <w:szCs w:val="20"/>
              </w:rPr>
              <w:t>本年收费金额（单位：万元）</w:t>
            </w:r>
          </w:p>
        </w:tc>
      </w:tr>
      <w:tr>
        <w:tblPrEx>
          <w:tblCellMar>
            <w:top w:w="0" w:type="dxa"/>
            <w:left w:w="0" w:type="dxa"/>
            <w:bottom w:w="0" w:type="dxa"/>
            <w:right w:w="0" w:type="dxa"/>
          </w:tblCellMar>
        </w:tblPrEx>
        <w:trPr>
          <w:cantSplit/>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4"/>
                <w:szCs w:val="24"/>
              </w:rPr>
              <w:t>0</w:t>
            </w:r>
          </w:p>
        </w:tc>
      </w:tr>
    </w:tbl>
    <w:p>
      <w:pPr>
        <w:widowControl/>
        <w:shd w:val="clear" w:color="auto" w:fill="F8F8F8"/>
        <w:spacing w:after="240" w:line="480" w:lineRule="auto"/>
        <w:jc w:val="left"/>
        <w:rPr>
          <w:rFonts w:ascii="Calibri" w:hAnsi="Calibri" w:eastAsia="宋体" w:cs="Calibri"/>
          <w:color w:val="333333"/>
          <w:kern w:val="0"/>
          <w:szCs w:val="21"/>
        </w:rPr>
      </w:pPr>
    </w:p>
    <w:p>
      <w:pPr>
        <w:widowControl/>
        <w:shd w:val="clear" w:color="auto" w:fill="FFFFFF"/>
        <w:spacing w:line="480" w:lineRule="auto"/>
        <w:ind w:firstLine="480"/>
        <w:rPr>
          <w:rFonts w:ascii="Calibri" w:hAnsi="Calibri" w:eastAsia="宋体" w:cs="Calibri"/>
          <w:color w:val="333333"/>
          <w:kern w:val="0"/>
          <w:szCs w:val="21"/>
        </w:rPr>
      </w:pPr>
      <w:r>
        <w:rPr>
          <w:rFonts w:hint="eastAsia" w:ascii="仿宋" w:hAnsi="仿宋" w:eastAsia="仿宋" w:cs="Calibri"/>
          <w:b/>
          <w:bCs/>
          <w:color w:val="333333"/>
          <w:kern w:val="0"/>
          <w:sz w:val="32"/>
          <w:szCs w:val="32"/>
          <w:shd w:val="clear" w:color="auto" w:fill="FFFFFF"/>
        </w:rPr>
        <w:t>三、收到和处理政府信息公开申请情况</w:t>
      </w:r>
    </w:p>
    <w:p>
      <w:pPr>
        <w:widowControl/>
        <w:shd w:val="clear" w:color="auto" w:fill="FFFFFF"/>
        <w:spacing w:line="480" w:lineRule="auto"/>
        <w:ind w:firstLine="480"/>
        <w:rPr>
          <w:rFonts w:ascii="Calibri" w:hAnsi="Calibri" w:eastAsia="宋体" w:cs="Calibri"/>
          <w:color w:val="333333"/>
          <w:kern w:val="0"/>
          <w:szCs w:val="21"/>
        </w:rPr>
      </w:pPr>
      <w:r>
        <w:rPr>
          <w:rFonts w:hint="eastAsia" w:ascii="宋体" w:hAnsi="宋体" w:eastAsia="宋体" w:cs="宋体"/>
          <w:color w:val="333333"/>
          <w:kern w:val="0"/>
          <w:sz w:val="24"/>
          <w:szCs w:val="24"/>
        </w:rPr>
        <w:t> </w:t>
      </w:r>
    </w:p>
    <w:tbl>
      <w:tblPr>
        <w:tblStyle w:val="5"/>
        <w:tblW w:w="9748" w:type="dxa"/>
        <w:jc w:val="center"/>
        <w:tblLayout w:type="autofit"/>
        <w:tblCellMar>
          <w:top w:w="0" w:type="dxa"/>
          <w:left w:w="0" w:type="dxa"/>
          <w:bottom w:w="0" w:type="dxa"/>
          <w:right w:w="0" w:type="dxa"/>
        </w:tblCellMar>
      </w:tblPr>
      <w:tblGrid>
        <w:gridCol w:w="765"/>
        <w:gridCol w:w="941"/>
        <w:gridCol w:w="3196"/>
        <w:gridCol w:w="692"/>
        <w:gridCol w:w="692"/>
        <w:gridCol w:w="692"/>
        <w:gridCol w:w="692"/>
        <w:gridCol w:w="692"/>
        <w:gridCol w:w="693"/>
        <w:gridCol w:w="693"/>
      </w:tblGrid>
      <w:tr>
        <w:trPr>
          <w:cantSplit/>
          <w:jc w:val="center"/>
        </w:trPr>
        <w:tc>
          <w:tcPr>
            <w:tcW w:w="5150"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申请人情况</w:t>
            </w:r>
          </w:p>
        </w:tc>
      </w:tr>
      <w:tr>
        <w:tblPrEx>
          <w:tblCellMar>
            <w:top w:w="0" w:type="dxa"/>
            <w:left w:w="0" w:type="dxa"/>
            <w:bottom w:w="0" w:type="dxa"/>
            <w:right w:w="0" w:type="dxa"/>
          </w:tblCellMar>
        </w:tblPrEx>
        <w:trPr>
          <w:cantSplit/>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714"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自然人</w:t>
            </w:r>
          </w:p>
        </w:tc>
        <w:tc>
          <w:tcPr>
            <w:tcW w:w="3570" w:type="dxa"/>
            <w:gridSpan w:val="5"/>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法人或其他组织</w:t>
            </w:r>
          </w:p>
        </w:tc>
        <w:tc>
          <w:tcPr>
            <w:tcW w:w="714"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总计</w:t>
            </w:r>
          </w:p>
        </w:tc>
      </w:tr>
      <w:tr>
        <w:tblPrEx>
          <w:tblCellMar>
            <w:top w:w="0" w:type="dxa"/>
            <w:left w:w="0" w:type="dxa"/>
            <w:bottom w:w="0" w:type="dxa"/>
            <w:right w:w="0" w:type="dxa"/>
          </w:tblCellMar>
        </w:tblPrEx>
        <w:trPr>
          <w:cantSplit/>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商业</w:t>
            </w:r>
          </w:p>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企业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科研</w:t>
            </w:r>
          </w:p>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机构</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社会公益组织</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法律服务机构</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其他</w:t>
            </w: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r>
      <w:tr>
        <w:tblPrEx>
          <w:tblCellMar>
            <w:top w:w="0" w:type="dxa"/>
            <w:left w:w="0" w:type="dxa"/>
            <w:bottom w:w="0" w:type="dxa"/>
            <w:right w:w="0" w:type="dxa"/>
          </w:tblCellMar>
        </w:tblPrEx>
        <w:trPr>
          <w:cantSplit/>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一、本年新收政府信息公开申请数量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二、上年结转政府信息公开申请数量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jc w:val="center"/>
        </w:trPr>
        <w:tc>
          <w:tcPr>
            <w:tcW w:w="78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三、本年度办理结果</w:t>
            </w: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（一）予以公开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（二）部分公开（区分处理的，只计这一情形，不计其他情形）</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（三）不予公开</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1.属于国家秘密</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2.其他法律行政法规禁止公开</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3.危及“三安全一稳定”</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4.保护第三方合法权益</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5.属于三类内部事务信息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6.属于四类过程性信息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7.属于行政执法案卷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8.属于行政查询事项</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（四）无法提供</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1.本机关不掌握相关政府信息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2.没有现成信息需要另行制作</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3.补正后申请内容仍不明确</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（五）不予处理</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1.信访举报投诉类申请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2.重复申请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3.要求提供公开出版物</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4.无正当理由大量反复申请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340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Calibri" w:hAnsi="Calibri" w:eastAsia="微软雅黑" w:cs="Calibri"/>
                <w:color w:val="333333"/>
                <w:kern w:val="0"/>
                <w:szCs w:val="21"/>
              </w:rPr>
            </w:pPr>
            <w:r>
              <w:rPr>
                <w:rFonts w:hint="eastAsia" w:ascii="仿宋" w:hAnsi="仿宋" w:eastAsia="仿宋" w:cs="Calibri"/>
                <w:color w:val="333333"/>
                <w:kern w:val="0"/>
                <w:sz w:val="20"/>
                <w:szCs w:val="20"/>
              </w:rPr>
              <w:t>5.要求行政机关确认或重新出具已获取信息</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（六）其他处理</w:t>
            </w: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Calibri" w:hAnsi="Calibri" w:eastAsia="微软雅黑" w:cs="Calibri"/>
                <w:color w:val="333333"/>
                <w:kern w:val="0"/>
                <w:szCs w:val="21"/>
              </w:rPr>
            </w:pPr>
            <w:r>
              <w:rPr>
                <w:rFonts w:hint="eastAsia" w:ascii="仿宋" w:hAnsi="仿宋" w:eastAsia="仿宋" w:cs="Calibri"/>
                <w:color w:val="333333"/>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p>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Calibri" w:hAnsi="Calibri" w:eastAsia="微软雅黑" w:cs="Calibri"/>
                <w:color w:val="333333"/>
                <w:kern w:val="0"/>
                <w:szCs w:val="21"/>
              </w:rPr>
            </w:pPr>
            <w:r>
              <w:rPr>
                <w:rFonts w:hint="eastAsia" w:ascii="仿宋" w:hAnsi="仿宋" w:eastAsia="仿宋" w:cs="Calibri"/>
                <w:color w:val="333333"/>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p>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3.其他</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（七）总计</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r>
      <w:tr>
        <w:tblPrEx>
          <w:tblCellMar>
            <w:top w:w="0" w:type="dxa"/>
            <w:left w:w="0" w:type="dxa"/>
            <w:bottom w:w="0" w:type="dxa"/>
            <w:right w:w="0" w:type="dxa"/>
          </w:tblCellMar>
        </w:tblPrEx>
        <w:trPr>
          <w:cantSplit/>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0"/>
                <w:szCs w:val="20"/>
              </w:rPr>
              <w:t>四、结转下年度继续办理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right"/>
              <w:rPr>
                <w:rFonts w:ascii="Calibri" w:hAnsi="Calibri" w:eastAsia="微软雅黑" w:cs="Calibri"/>
                <w:color w:val="333333"/>
                <w:kern w:val="0"/>
                <w:szCs w:val="21"/>
              </w:rPr>
            </w:pPr>
            <w:r>
              <w:rPr>
                <w:rFonts w:hint="eastAsia" w:ascii="仿宋" w:hAnsi="仿宋" w:eastAsia="仿宋" w:cs="Calibri"/>
                <w:color w:val="333333"/>
                <w:kern w:val="0"/>
                <w:sz w:val="24"/>
                <w:szCs w:val="24"/>
              </w:rPr>
              <w:t>0</w:t>
            </w:r>
          </w:p>
        </w:tc>
      </w:tr>
    </w:tbl>
    <w:p>
      <w:pPr>
        <w:widowControl/>
        <w:shd w:val="clear" w:color="auto" w:fill="FFFFFF"/>
        <w:spacing w:line="480" w:lineRule="auto"/>
        <w:jc w:val="center"/>
        <w:rPr>
          <w:rFonts w:ascii="Calibri" w:hAnsi="Calibri" w:eastAsia="宋体" w:cs="Calibri"/>
          <w:color w:val="333333"/>
          <w:kern w:val="0"/>
          <w:szCs w:val="21"/>
        </w:rPr>
      </w:pPr>
      <w:r>
        <w:rPr>
          <w:rFonts w:hint="eastAsia" w:ascii="宋体" w:hAnsi="宋体" w:eastAsia="宋体" w:cs="宋体"/>
          <w:color w:val="333333"/>
          <w:kern w:val="0"/>
          <w:sz w:val="24"/>
          <w:szCs w:val="24"/>
        </w:rPr>
        <w:t> </w:t>
      </w:r>
    </w:p>
    <w:p>
      <w:pPr>
        <w:widowControl/>
        <w:shd w:val="clear" w:color="auto" w:fill="FFFFFF"/>
        <w:spacing w:line="480" w:lineRule="auto"/>
        <w:ind w:firstLine="480"/>
        <w:rPr>
          <w:rFonts w:ascii="Calibri" w:hAnsi="Calibri" w:eastAsia="宋体" w:cs="Calibri"/>
          <w:color w:val="333333"/>
          <w:kern w:val="0"/>
          <w:szCs w:val="21"/>
        </w:rPr>
      </w:pPr>
      <w:r>
        <w:rPr>
          <w:rFonts w:hint="eastAsia" w:ascii="仿宋" w:hAnsi="仿宋" w:eastAsia="仿宋" w:cs="Calibri"/>
          <w:b/>
          <w:bCs/>
          <w:color w:val="333333"/>
          <w:kern w:val="0"/>
          <w:sz w:val="32"/>
          <w:szCs w:val="32"/>
          <w:shd w:val="clear" w:color="auto" w:fill="FFFFFF"/>
        </w:rPr>
        <w:t>四、政府信息公开行政复议、行政诉讼情况</w:t>
      </w:r>
    </w:p>
    <w:p>
      <w:pPr>
        <w:widowControl/>
        <w:shd w:val="clear" w:color="auto" w:fill="FFFFFF"/>
        <w:spacing w:line="480" w:lineRule="auto"/>
        <w:jc w:val="center"/>
        <w:rPr>
          <w:rFonts w:ascii="Calibri" w:hAnsi="Calibri" w:eastAsia="宋体" w:cs="Calibri"/>
          <w:color w:val="333333"/>
          <w:kern w:val="0"/>
          <w:szCs w:val="21"/>
        </w:rPr>
      </w:pPr>
      <w:r>
        <w:rPr>
          <w:rFonts w:hint="eastAsia" w:ascii="宋体" w:hAnsi="宋体" w:eastAsia="宋体" w:cs="宋体"/>
          <w:color w:val="333333"/>
          <w:kern w:val="0"/>
          <w:sz w:val="24"/>
          <w:szCs w:val="24"/>
        </w:rPr>
        <w:t> </w:t>
      </w: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cantSplit/>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行政复议</w:t>
            </w:r>
          </w:p>
        </w:tc>
        <w:tc>
          <w:tcPr>
            <w:tcW w:w="6428"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行政诉讼</w:t>
            </w:r>
          </w:p>
        </w:tc>
      </w:tr>
      <w:tr>
        <w:tblPrEx>
          <w:tblCellMar>
            <w:top w:w="0" w:type="dxa"/>
            <w:left w:w="0" w:type="dxa"/>
            <w:bottom w:w="0" w:type="dxa"/>
            <w:right w:w="0" w:type="dxa"/>
          </w:tblCellMar>
        </w:tblPrEx>
        <w:trPr>
          <w:cantSplit/>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结果维持</w:t>
            </w:r>
          </w:p>
        </w:tc>
        <w:tc>
          <w:tcPr>
            <w:tcW w:w="64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结果</w:t>
            </w:r>
            <w:r>
              <w:rPr>
                <w:rFonts w:hint="eastAsia" w:ascii="仿宋" w:hAnsi="仿宋" w:eastAsia="仿宋" w:cs="Calibri"/>
                <w:color w:val="333333"/>
                <w:kern w:val="0"/>
                <w:sz w:val="20"/>
                <w:szCs w:val="20"/>
              </w:rPr>
              <w:br w:type="textWrapping"/>
            </w:r>
            <w:r>
              <w:rPr>
                <w:rFonts w:hint="eastAsia" w:ascii="仿宋" w:hAnsi="仿宋" w:eastAsia="仿宋" w:cs="Calibri"/>
                <w:color w:val="333333"/>
                <w:kern w:val="0"/>
                <w:sz w:val="20"/>
                <w:szCs w:val="20"/>
              </w:rPr>
              <w:t>纠正</w:t>
            </w:r>
          </w:p>
        </w:tc>
        <w:tc>
          <w:tcPr>
            <w:tcW w:w="64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其他</w:t>
            </w:r>
            <w:r>
              <w:rPr>
                <w:rFonts w:hint="eastAsia" w:ascii="仿宋" w:hAnsi="仿宋" w:eastAsia="仿宋" w:cs="Calibri"/>
                <w:color w:val="333333"/>
                <w:kern w:val="0"/>
                <w:sz w:val="20"/>
                <w:szCs w:val="20"/>
              </w:rPr>
              <w:br w:type="textWrapping"/>
            </w:r>
            <w:r>
              <w:rPr>
                <w:rFonts w:hint="eastAsia" w:ascii="仿宋" w:hAnsi="仿宋" w:eastAsia="仿宋" w:cs="Calibri"/>
                <w:color w:val="333333"/>
                <w:kern w:val="0"/>
                <w:sz w:val="20"/>
                <w:szCs w:val="20"/>
              </w:rPr>
              <w:t>结果</w:t>
            </w:r>
          </w:p>
        </w:tc>
        <w:tc>
          <w:tcPr>
            <w:tcW w:w="64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尚未</w:t>
            </w:r>
            <w:r>
              <w:rPr>
                <w:rFonts w:hint="eastAsia" w:ascii="仿宋" w:hAnsi="仿宋" w:eastAsia="仿宋" w:cs="Calibri"/>
                <w:color w:val="333333"/>
                <w:kern w:val="0"/>
                <w:sz w:val="20"/>
                <w:szCs w:val="20"/>
              </w:rPr>
              <w:br w:type="textWrapping"/>
            </w:r>
            <w:r>
              <w:rPr>
                <w:rFonts w:hint="eastAsia" w:ascii="仿宋" w:hAnsi="仿宋" w:eastAsia="仿宋" w:cs="Calibri"/>
                <w:color w:val="333333"/>
                <w:kern w:val="0"/>
                <w:sz w:val="20"/>
                <w:szCs w:val="20"/>
              </w:rPr>
              <w:t>审结</w:t>
            </w:r>
          </w:p>
        </w:tc>
        <w:tc>
          <w:tcPr>
            <w:tcW w:w="64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总计</w:t>
            </w:r>
          </w:p>
        </w:tc>
        <w:tc>
          <w:tcPr>
            <w:tcW w:w="321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未经复议直接起诉</w:t>
            </w:r>
          </w:p>
        </w:tc>
        <w:tc>
          <w:tcPr>
            <w:tcW w:w="3215"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复议后起诉</w:t>
            </w:r>
          </w:p>
        </w:tc>
      </w:tr>
      <w:tr>
        <w:tblPrEx>
          <w:tblCellMar>
            <w:top w:w="0" w:type="dxa"/>
            <w:left w:w="0" w:type="dxa"/>
            <w:bottom w:w="0" w:type="dxa"/>
            <w:right w:w="0" w:type="dxa"/>
          </w:tblCellMar>
        </w:tblPrEx>
        <w:trPr>
          <w:cantSpli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微软雅黑" w:cs="Calibri"/>
                <w:color w:val="333333"/>
                <w:kern w:val="0"/>
                <w:szCs w:val="21"/>
              </w:rPr>
            </w:pP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结果</w:t>
            </w:r>
            <w:r>
              <w:rPr>
                <w:rFonts w:hint="eastAsia" w:ascii="仿宋" w:hAnsi="仿宋" w:eastAsia="仿宋" w:cs="Calibri"/>
                <w:color w:val="333333"/>
                <w:kern w:val="0"/>
                <w:sz w:val="20"/>
                <w:szCs w:val="20"/>
              </w:rPr>
              <w:br w:type="textWrapping"/>
            </w:r>
            <w:r>
              <w:rPr>
                <w:rFonts w:hint="eastAsia" w:ascii="仿宋" w:hAnsi="仿宋" w:eastAsia="仿宋" w:cs="Calibri"/>
                <w:color w:val="333333"/>
                <w:kern w:val="0"/>
                <w:sz w:val="20"/>
                <w:szCs w:val="20"/>
              </w:rPr>
              <w:t>维持</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结果</w:t>
            </w:r>
            <w:r>
              <w:rPr>
                <w:rFonts w:hint="eastAsia" w:ascii="仿宋" w:hAnsi="仿宋" w:eastAsia="仿宋" w:cs="Calibri"/>
                <w:color w:val="333333"/>
                <w:kern w:val="0"/>
                <w:sz w:val="20"/>
                <w:szCs w:val="20"/>
              </w:rPr>
              <w:br w:type="textWrapping"/>
            </w:r>
            <w:r>
              <w:rPr>
                <w:rFonts w:hint="eastAsia" w:ascii="仿宋" w:hAnsi="仿宋" w:eastAsia="仿宋" w:cs="Calibri"/>
                <w:color w:val="333333"/>
                <w:kern w:val="0"/>
                <w:sz w:val="20"/>
                <w:szCs w:val="20"/>
              </w:rPr>
              <w:t>纠正</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其他</w:t>
            </w:r>
            <w:r>
              <w:rPr>
                <w:rFonts w:hint="eastAsia" w:ascii="仿宋" w:hAnsi="仿宋" w:eastAsia="仿宋" w:cs="Calibri"/>
                <w:color w:val="333333"/>
                <w:kern w:val="0"/>
                <w:sz w:val="20"/>
                <w:szCs w:val="20"/>
              </w:rPr>
              <w:br w:type="textWrapping"/>
            </w:r>
            <w:r>
              <w:rPr>
                <w:rFonts w:hint="eastAsia" w:ascii="仿宋" w:hAnsi="仿宋" w:eastAsia="仿宋" w:cs="Calibri"/>
                <w:color w:val="333333"/>
                <w:kern w:val="0"/>
                <w:sz w:val="20"/>
                <w:szCs w:val="20"/>
              </w:rPr>
              <w:t>结果</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尚未</w:t>
            </w:r>
            <w:r>
              <w:rPr>
                <w:rFonts w:hint="eastAsia" w:ascii="仿宋" w:hAnsi="仿宋" w:eastAsia="仿宋" w:cs="Calibri"/>
                <w:color w:val="333333"/>
                <w:kern w:val="0"/>
                <w:sz w:val="20"/>
                <w:szCs w:val="20"/>
              </w:rPr>
              <w:br w:type="textWrapping"/>
            </w:r>
            <w:r>
              <w:rPr>
                <w:rFonts w:hint="eastAsia" w:ascii="仿宋" w:hAnsi="仿宋" w:eastAsia="仿宋" w:cs="Calibri"/>
                <w:color w:val="333333"/>
                <w:kern w:val="0"/>
                <w:sz w:val="20"/>
                <w:szCs w:val="20"/>
              </w:rPr>
              <w:t>审结</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000000"/>
                <w:kern w:val="0"/>
                <w:sz w:val="20"/>
                <w:szCs w:val="20"/>
              </w:rPr>
              <w:t>总计</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结果</w:t>
            </w:r>
            <w:r>
              <w:rPr>
                <w:rFonts w:hint="eastAsia" w:ascii="仿宋" w:hAnsi="仿宋" w:eastAsia="仿宋" w:cs="Calibri"/>
                <w:color w:val="333333"/>
                <w:kern w:val="0"/>
                <w:sz w:val="20"/>
                <w:szCs w:val="20"/>
              </w:rPr>
              <w:br w:type="textWrapping"/>
            </w:r>
            <w:r>
              <w:rPr>
                <w:rFonts w:hint="eastAsia" w:ascii="仿宋" w:hAnsi="仿宋" w:eastAsia="仿宋" w:cs="Calibri"/>
                <w:color w:val="333333"/>
                <w:kern w:val="0"/>
                <w:sz w:val="20"/>
                <w:szCs w:val="20"/>
              </w:rPr>
              <w:t>维持</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结果</w:t>
            </w:r>
            <w:r>
              <w:rPr>
                <w:rFonts w:hint="eastAsia" w:ascii="仿宋" w:hAnsi="仿宋" w:eastAsia="仿宋" w:cs="Calibri"/>
                <w:color w:val="333333"/>
                <w:kern w:val="0"/>
                <w:sz w:val="20"/>
                <w:szCs w:val="20"/>
              </w:rPr>
              <w:br w:type="textWrapping"/>
            </w:r>
            <w:r>
              <w:rPr>
                <w:rFonts w:hint="eastAsia" w:ascii="仿宋" w:hAnsi="仿宋" w:eastAsia="仿宋" w:cs="Calibri"/>
                <w:color w:val="333333"/>
                <w:kern w:val="0"/>
                <w:sz w:val="20"/>
                <w:szCs w:val="20"/>
              </w:rPr>
              <w:t>纠正</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000000"/>
                <w:kern w:val="0"/>
                <w:sz w:val="20"/>
                <w:szCs w:val="20"/>
              </w:rPr>
              <w:t>其他</w:t>
            </w:r>
            <w:r>
              <w:rPr>
                <w:rFonts w:hint="eastAsia" w:ascii="仿宋" w:hAnsi="仿宋" w:eastAsia="仿宋" w:cs="Calibri"/>
                <w:color w:val="000000"/>
                <w:kern w:val="0"/>
                <w:sz w:val="20"/>
                <w:szCs w:val="20"/>
              </w:rPr>
              <w:br w:type="textWrapping"/>
            </w:r>
            <w:r>
              <w:rPr>
                <w:rFonts w:hint="eastAsia" w:ascii="仿宋" w:hAnsi="仿宋" w:eastAsia="仿宋" w:cs="Calibri"/>
                <w:color w:val="000000"/>
                <w:kern w:val="0"/>
                <w:sz w:val="20"/>
                <w:szCs w:val="20"/>
              </w:rPr>
              <w:t>结果</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尚未</w:t>
            </w:r>
            <w:r>
              <w:rPr>
                <w:rFonts w:hint="eastAsia" w:ascii="仿宋" w:hAnsi="仿宋" w:eastAsia="仿宋" w:cs="Calibri"/>
                <w:color w:val="333333"/>
                <w:kern w:val="0"/>
                <w:sz w:val="20"/>
                <w:szCs w:val="20"/>
              </w:rPr>
              <w:br w:type="textWrapping"/>
            </w:r>
            <w:r>
              <w:rPr>
                <w:rFonts w:hint="eastAsia" w:ascii="仿宋" w:hAnsi="仿宋" w:eastAsia="仿宋" w:cs="Calibri"/>
                <w:color w:val="333333"/>
                <w:kern w:val="0"/>
                <w:sz w:val="20"/>
                <w:szCs w:val="20"/>
              </w:rPr>
              <w:t>审结</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000000"/>
                <w:kern w:val="0"/>
                <w:sz w:val="20"/>
                <w:szCs w:val="20"/>
              </w:rPr>
              <w:t>总计</w:t>
            </w:r>
          </w:p>
        </w:tc>
      </w:tr>
      <w:tr>
        <w:tblPrEx>
          <w:tblCellMar>
            <w:top w:w="0" w:type="dxa"/>
            <w:left w:w="0" w:type="dxa"/>
            <w:bottom w:w="0" w:type="dxa"/>
            <w:right w:w="0" w:type="dxa"/>
          </w:tblCellMar>
        </w:tblPrEx>
        <w:trPr>
          <w:cantSplit/>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0</w:t>
            </w:r>
            <w:r>
              <w:rPr>
                <w:rFonts w:hint="eastAsia" w:ascii="宋体" w:hAnsi="宋体" w:eastAsia="宋体" w:cs="Calibri"/>
                <w:color w:val="333333"/>
                <w:kern w:val="0"/>
                <w:sz w:val="20"/>
                <w:szCs w:val="20"/>
              </w:rPr>
              <w:t> </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0</w:t>
            </w:r>
            <w:r>
              <w:rPr>
                <w:rFonts w:hint="eastAsia" w:ascii="宋体" w:hAnsi="宋体" w:eastAsia="宋体" w:cs="Calibri"/>
                <w:color w:val="333333"/>
                <w:kern w:val="0"/>
                <w:sz w:val="20"/>
                <w:szCs w:val="20"/>
              </w:rPr>
              <w:t> </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0</w:t>
            </w:r>
            <w:r>
              <w:rPr>
                <w:rFonts w:hint="eastAsia" w:ascii="宋体" w:hAnsi="宋体" w:eastAsia="宋体" w:cs="Calibri"/>
                <w:color w:val="333333"/>
                <w:kern w:val="0"/>
                <w:sz w:val="20"/>
                <w:szCs w:val="20"/>
              </w:rPr>
              <w:t> </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0</w:t>
            </w:r>
            <w:r>
              <w:rPr>
                <w:rFonts w:hint="eastAsia" w:ascii="宋体" w:hAnsi="宋体" w:eastAsia="宋体" w:cs="Calibri"/>
                <w:color w:val="333333"/>
                <w:kern w:val="0"/>
                <w:sz w:val="20"/>
                <w:szCs w:val="20"/>
              </w:rPr>
              <w:t> </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宋体" w:hAnsi="宋体" w:eastAsia="宋体" w:cs="Calibri"/>
                <w:color w:val="333333"/>
                <w:kern w:val="0"/>
                <w:sz w:val="20"/>
                <w:szCs w:val="20"/>
              </w:rPr>
              <w:t> </w:t>
            </w:r>
            <w:r>
              <w:rPr>
                <w:rFonts w:hint="eastAsia" w:ascii="仿宋" w:hAnsi="仿宋" w:eastAsia="仿宋" w:cs="Calibri"/>
                <w:color w:val="333333"/>
                <w:kern w:val="0"/>
                <w:sz w:val="20"/>
                <w:szCs w:val="20"/>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微软雅黑" w:cs="Calibri"/>
                <w:color w:val="333333"/>
                <w:kern w:val="0"/>
                <w:szCs w:val="21"/>
              </w:rPr>
            </w:pPr>
            <w:r>
              <w:rPr>
                <w:rFonts w:hint="eastAsia" w:ascii="仿宋" w:hAnsi="仿宋" w:eastAsia="仿宋" w:cs="Calibri"/>
                <w:color w:val="333333"/>
                <w:kern w:val="0"/>
                <w:sz w:val="20"/>
                <w:szCs w:val="20"/>
              </w:rPr>
              <w:t>0</w:t>
            </w:r>
            <w:r>
              <w:rPr>
                <w:rFonts w:hint="eastAsia" w:ascii="宋体" w:hAnsi="宋体" w:eastAsia="宋体" w:cs="Calibri"/>
                <w:color w:val="333333"/>
                <w:kern w:val="0"/>
                <w:sz w:val="20"/>
                <w:szCs w:val="20"/>
              </w:rPr>
              <w:t> </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微软雅黑" w:cs="Calibri"/>
                <w:color w:val="333333"/>
                <w:kern w:val="0"/>
                <w:szCs w:val="21"/>
              </w:rPr>
            </w:pPr>
            <w:r>
              <w:rPr>
                <w:rFonts w:hint="eastAsia" w:ascii="仿宋" w:hAnsi="仿宋" w:eastAsia="仿宋" w:cs="Calibri"/>
                <w:color w:val="333333"/>
                <w:kern w:val="0"/>
                <w:sz w:val="24"/>
                <w:szCs w:val="24"/>
              </w:rPr>
              <w:t>0</w:t>
            </w:r>
          </w:p>
        </w:tc>
      </w:tr>
    </w:tbl>
    <w:p>
      <w:pPr>
        <w:widowControl/>
        <w:shd w:val="clear" w:color="auto" w:fill="FFFFFF"/>
        <w:spacing w:line="480" w:lineRule="auto"/>
        <w:ind w:firstLine="639" w:firstLineChars="199"/>
        <w:rPr>
          <w:rFonts w:ascii="仿宋" w:hAnsi="仿宋" w:eastAsia="仿宋" w:cs="Calibri"/>
          <w:b/>
          <w:bCs/>
          <w:color w:val="333333"/>
          <w:kern w:val="0"/>
          <w:sz w:val="32"/>
          <w:szCs w:val="32"/>
          <w:shd w:val="clear" w:color="auto" w:fill="FFFFFF"/>
        </w:rPr>
      </w:pPr>
      <w:r>
        <w:rPr>
          <w:rFonts w:hint="eastAsia" w:ascii="仿宋" w:hAnsi="仿宋" w:eastAsia="仿宋" w:cs="Calibri"/>
          <w:b/>
          <w:bCs/>
          <w:color w:val="333333"/>
          <w:kern w:val="0"/>
          <w:sz w:val="32"/>
          <w:szCs w:val="32"/>
          <w:shd w:val="clear" w:color="auto" w:fill="FFFFFF"/>
        </w:rPr>
        <w:t>五、存在的主要问题及改进情况</w:t>
      </w:r>
    </w:p>
    <w:p>
      <w:pPr>
        <w:widowControl/>
        <w:shd w:val="clear" w:color="auto" w:fill="FFFFFF"/>
        <w:spacing w:line="480" w:lineRule="auto"/>
        <w:ind w:firstLine="636" w:firstLineChars="199"/>
        <w:rPr>
          <w:rFonts w:hint="eastAsia" w:ascii="仿宋_GB2312" w:eastAsia="仿宋_GB2312"/>
          <w:sz w:val="32"/>
          <w:szCs w:val="32"/>
        </w:rPr>
      </w:pPr>
      <w:r>
        <w:rPr>
          <w:rFonts w:hint="eastAsia" w:ascii="仿宋_GB2312" w:eastAsia="仿宋_GB2312"/>
          <w:sz w:val="32"/>
          <w:szCs w:val="32"/>
        </w:rPr>
        <w:t>（一）工作中存在的问题：1.政府信息公开质量不高，信息公开时效性还应进一步增强；</w:t>
      </w:r>
    </w:p>
    <w:p>
      <w:pPr>
        <w:widowControl/>
        <w:shd w:val="clear" w:color="auto" w:fill="FFFFFF"/>
        <w:spacing w:line="480" w:lineRule="auto"/>
        <w:ind w:firstLine="636" w:firstLineChars="199"/>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color w:val="333333"/>
          <w:sz w:val="32"/>
          <w:szCs w:val="32"/>
          <w:shd w:val="clear" w:color="auto" w:fill="FFFFFF"/>
        </w:rPr>
        <w:t>政策解读形式还需要多元化，将政策解读生动、明了，更加贴近群众生活</w:t>
      </w:r>
      <w:r>
        <w:rPr>
          <w:rFonts w:hint="eastAsia" w:ascii="仿宋_GB2312" w:eastAsia="仿宋_GB2312"/>
          <w:sz w:val="32"/>
          <w:szCs w:val="32"/>
        </w:rPr>
        <w:t>；</w:t>
      </w:r>
    </w:p>
    <w:p>
      <w:pPr>
        <w:widowControl/>
        <w:shd w:val="clear" w:color="auto" w:fill="FFFFFF"/>
        <w:spacing w:line="480" w:lineRule="auto"/>
        <w:ind w:firstLine="636" w:firstLineChars="199"/>
        <w:rPr>
          <w:rFonts w:ascii="仿宋_GB2312" w:eastAsia="仿宋_GB2312"/>
          <w:sz w:val="32"/>
          <w:szCs w:val="32"/>
        </w:rPr>
      </w:pPr>
      <w:r>
        <w:rPr>
          <w:rFonts w:hint="eastAsia" w:ascii="仿宋_GB2312" w:eastAsia="仿宋_GB2312"/>
          <w:sz w:val="32"/>
          <w:szCs w:val="32"/>
        </w:rPr>
        <w:t>3.相关工作人员业务培训有待进一步加强。</w:t>
      </w:r>
    </w:p>
    <w:p>
      <w:pPr>
        <w:widowControl/>
        <w:shd w:val="clear" w:color="auto" w:fill="FFFFFF"/>
        <w:spacing w:line="480" w:lineRule="auto"/>
        <w:ind w:firstLine="636" w:firstLineChars="199"/>
        <w:rPr>
          <w:rFonts w:hint="eastAsia" w:ascii="仿宋_GB2312" w:eastAsia="仿宋_GB2312"/>
          <w:sz w:val="32"/>
          <w:szCs w:val="32"/>
        </w:rPr>
      </w:pPr>
      <w:r>
        <w:rPr>
          <w:rFonts w:hint="eastAsia" w:ascii="仿宋_GB2312" w:eastAsia="仿宋_GB2312"/>
          <w:sz w:val="32"/>
          <w:szCs w:val="32"/>
        </w:rPr>
        <w:t>（二）改进措施：1.进一步深化政府信息公开内容，认真研究政府信息公开目录和公开指标，进一步提升信息公开实效；</w:t>
      </w:r>
    </w:p>
    <w:p>
      <w:pPr>
        <w:widowControl/>
        <w:shd w:val="clear" w:color="auto" w:fill="FFFFFF"/>
        <w:spacing w:line="480" w:lineRule="auto"/>
        <w:ind w:firstLine="636" w:firstLineChars="199"/>
        <w:rPr>
          <w:rFonts w:hint="eastAsia" w:ascii="仿宋_GB2312" w:eastAsia="仿宋_GB2312"/>
          <w:sz w:val="32"/>
          <w:szCs w:val="32"/>
        </w:rPr>
      </w:pPr>
      <w:r>
        <w:rPr>
          <w:rFonts w:hint="eastAsia" w:ascii="仿宋_GB2312" w:eastAsia="仿宋_GB2312"/>
          <w:sz w:val="32"/>
          <w:szCs w:val="32"/>
        </w:rPr>
        <w:t>2.丰富解读内容，增强解读形式，增加图片、视频等解读模式；</w:t>
      </w:r>
    </w:p>
    <w:p>
      <w:pPr>
        <w:widowControl/>
        <w:shd w:val="clear" w:color="auto" w:fill="FFFFFF"/>
        <w:spacing w:line="480" w:lineRule="auto"/>
        <w:ind w:firstLine="636" w:firstLineChars="199"/>
        <w:rPr>
          <w:rFonts w:ascii="仿宋_GB2312" w:eastAsia="仿宋_GB2312"/>
          <w:sz w:val="32"/>
          <w:szCs w:val="32"/>
        </w:rPr>
      </w:pPr>
      <w:r>
        <w:rPr>
          <w:rFonts w:hint="eastAsia" w:ascii="仿宋_GB2312" w:eastAsia="仿宋_GB2312"/>
          <w:sz w:val="32"/>
          <w:szCs w:val="32"/>
        </w:rPr>
        <w:t>3.进一步加强单位内部的宣传培训，增强工作人员依法做好政府信息公开工作的能力。</w:t>
      </w:r>
    </w:p>
    <w:p>
      <w:pPr>
        <w:ind w:firstLine="630" w:firstLineChars="196"/>
        <w:rPr>
          <w:rFonts w:ascii="仿宋" w:hAnsi="仿宋" w:eastAsia="仿宋" w:cs="Calibri"/>
          <w:b/>
          <w:bCs/>
          <w:color w:val="333333"/>
          <w:kern w:val="0"/>
          <w:sz w:val="32"/>
          <w:szCs w:val="32"/>
          <w:shd w:val="clear" w:color="auto" w:fill="FFFFFF"/>
        </w:rPr>
      </w:pPr>
      <w:r>
        <w:rPr>
          <w:rFonts w:hint="eastAsia" w:ascii="仿宋" w:hAnsi="仿宋" w:eastAsia="仿宋" w:cs="Calibri"/>
          <w:b/>
          <w:bCs/>
          <w:color w:val="333333"/>
          <w:kern w:val="0"/>
          <w:sz w:val="32"/>
          <w:szCs w:val="32"/>
          <w:shd w:val="clear" w:color="auto" w:fill="FFFFFF"/>
        </w:rPr>
        <w:t>六、其他需要报告的事项</w:t>
      </w:r>
    </w:p>
    <w:p>
      <w:pPr>
        <w:ind w:firstLine="640" w:firstLineChars="200"/>
        <w:rPr>
          <w:rFonts w:ascii="仿宋_GB2312" w:eastAsia="仿宋_GB2312"/>
          <w:sz w:val="32"/>
          <w:szCs w:val="32"/>
        </w:rPr>
      </w:pPr>
      <w:r>
        <w:rPr>
          <w:rFonts w:hint="eastAsia" w:ascii="仿宋_GB2312" w:eastAsia="仿宋_GB2312"/>
          <w:sz w:val="32"/>
          <w:szCs w:val="32"/>
        </w:rPr>
        <w:t>按照《国务院办公厅关于印发&lt;政府信息公开信息处理费管理办法&gt;的通知》（国办〔2020〕199号）规定的按件、按量收费标准，本年度没有产生信息公开处理费。</w:t>
      </w:r>
      <w:bookmarkEnd w:id="0"/>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223267"/>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ZkN2U0NTE2ZWZjNGNkOGYwMTY5ODIwZjEyYjUxNGMifQ=="/>
  </w:docVars>
  <w:rsids>
    <w:rsidRoot w:val="00DC0A05"/>
    <w:rsid w:val="001B4420"/>
    <w:rsid w:val="004636CD"/>
    <w:rsid w:val="005268BE"/>
    <w:rsid w:val="0056600A"/>
    <w:rsid w:val="005C093C"/>
    <w:rsid w:val="00697F58"/>
    <w:rsid w:val="006C0112"/>
    <w:rsid w:val="00886973"/>
    <w:rsid w:val="00995A47"/>
    <w:rsid w:val="009A0E22"/>
    <w:rsid w:val="009E1A7E"/>
    <w:rsid w:val="00BB7EDB"/>
    <w:rsid w:val="00BC188F"/>
    <w:rsid w:val="00BC3D0B"/>
    <w:rsid w:val="00C22757"/>
    <w:rsid w:val="00C574C1"/>
    <w:rsid w:val="00D37A26"/>
    <w:rsid w:val="00DC0A05"/>
    <w:rsid w:val="00DF3DD2"/>
    <w:rsid w:val="00F41411"/>
    <w:rsid w:val="714C3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1502</Words>
  <Characters>1548</Characters>
  <Lines>309</Lines>
  <Paragraphs>381</Paragraphs>
  <TotalTime>422</TotalTime>
  <ScaleCrop>false</ScaleCrop>
  <LinksUpToDate>false</LinksUpToDate>
  <CharactersWithSpaces>2669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2023-01-11T08:31:00Z</dcterms:created>
  <dc:creator>李钰</dc:creator>
  <cp:lastModifiedBy>dell</cp:lastModifiedBy>
  <cp:lastPrinted>2023-01-17T07:44:00Z</cp:lastPrinted>
  <dcterms:modified xsi:type="dcterms:W3CDTF">2023-03-13T00:44:44Z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198AC57C3F8A4D31B5F9627CC21297CA</vt:lpwstr>
  </property>
</Properties>
</file>