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eastAsia="宋体" w:cs="Times New Roman"/>
          <w:b/>
          <w:bCs/>
          <w:sz w:val="44"/>
          <w:szCs w:val="44"/>
          <w:lang w:val="en-US" w:eastAsia="zh-CN"/>
        </w:rPr>
        <w:t>天长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市人民政府重大行政决策咨询论证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专家库管理办法</w:t>
      </w:r>
      <w:r>
        <w:rPr>
          <w:rFonts w:hint="eastAsia" w:eastAsia="宋体" w:cs="Times New Roman"/>
          <w:b/>
          <w:bCs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为健全重大行政决策专家咨询论证机制，推进政府决策的科学化、民主化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根据《重大行政决策程序暂行条例》</w:t>
      </w:r>
      <w:r>
        <w:rPr>
          <w:rFonts w:hint="eastAsia" w:cs="Times New Roman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《安徽省重大行政决策程序规定》，结合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市人民政府根据</w:t>
      </w:r>
      <w:r>
        <w:rPr>
          <w:rFonts w:hint="eastAsia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咨询论证工作需要，遴选具有丰富专业知识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实践经验的专家学者及实务工作者，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组建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市人民政府重大行政决策咨询论证专家库（以下简称专家库）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实行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专家库设产业发展、社会管理、城乡建设、财税金融、依法行政、环境资源、人才教育、文化发展、医疗卫生、农业农村等专家组别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组别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分别遴选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不少于10名</w:t>
      </w:r>
      <w:r>
        <w:rPr>
          <w:rFonts w:hint="eastAsia" w:cs="Times New Roman"/>
          <w:sz w:val="32"/>
          <w:szCs w:val="32"/>
          <w:lang w:val="en-US" w:eastAsia="zh-CN"/>
        </w:rPr>
        <w:t>专家，为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市人民政府重大行政决策咨询论证专家库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决策咨询论证专家可以从行业主管部门、教育科研机构、行业协会商会、社会组织、有关企业中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遴选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根据工作需要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可随时增补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坚持自愿原则，采取个人申请、组织推荐、定向邀请等方式，由市司法行政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对被推荐人进行初审，提出拟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聘人员名单，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按程序提请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聘任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第六条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决策咨询论证专家每届聘期5年，可连聘连任。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决策咨询论证专家应当具备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（一）拥护中国共产党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领导，自觉贯彻执行党的路线方针政策；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（二）熟悉相关领域法律法规、技术规范及行业发展动态，具有高级专业技术职称或在该领域长期从事相关工作，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有丰富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经验及较高的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影响力和知名度；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（三）具有良好的职业道德和社会责任感，遵纪守法，未受过刑事处罚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未受过与所在领域履行职责相关的行政处罚及行业处分等；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（四）具有较高的政策理论水平和较强的服务决策能力；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（五）具备履行职责的意愿和身体条件；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（六）其他需要具备的条件。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决策咨询论证专家享有以下权利：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（一）获得与履行职责相关的信息资料、文件和其他必须的工作条件；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（二）受邀列席与决策事项相关的工作会议；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（三）独立提出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（四）获得工作报酬；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（五）其他可享有的权利。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决策咨询论证专家履行以下义务：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（一）认真履行职责，及时提供书面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咨询论证意见，不得无故缺席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咨询论证会议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（二）履行保密义务，不得利用</w:t>
      </w:r>
      <w:r>
        <w:rPr>
          <w:rFonts w:hint="eastAsia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非公开信息或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取得的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便利条件，为本人及所在单位或他人牟取利益；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（三）参与的工作与本人或所在单位存在利害关系的，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应当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主动申请回避；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（四）不得以决策咨询论证专家的身份从事与该身份无关的活动；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应履行的义务。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市司法行政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负责专家库的管理和决策咨询论证专家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日常联络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定期对决策咨询论证专家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工作开展情况进行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十一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市人民政府作出重大行政决策前、后，对专业性、技术性较强的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重大行政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决策事项，决策承办单位应当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十二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市人民政府办公室负责督促决策承办单位组织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市直相关部门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作为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决策事项承办单位，负责组织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、整理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咨询论证意见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提供必要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决策承办单位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申请，由市司法行政机关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决策承办单位</w:t>
      </w:r>
      <w:r>
        <w:rPr>
          <w:rFonts w:hint="eastAsia" w:cs="Times New Roman"/>
          <w:sz w:val="32"/>
          <w:szCs w:val="32"/>
          <w:lang w:val="en-US" w:eastAsia="zh-CN"/>
        </w:rPr>
        <w:t>共同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从专家库中选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。涉及法律事务的，应当邀请法律专家参与。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十三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决策承办单位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不得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干预决策咨询论证专家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独立开展工作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论证意见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应当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研究论证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充分采纳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论证，可以采取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召开会议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、书面咨询、委托咨询等方式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决策承办单位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组织召开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会议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，应当邀请5人以上的决策咨询论证专家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决策事项涉及面较广、争议较大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特别复杂的，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不少于9人。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决策承办单位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应当提前7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个工作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参加专家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的决策咨询论证专家提供决策草案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说明、论证重点及相关材料。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加决策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的决策咨询论证专家应当提供书面咨询论证意见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意见应当对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重大行政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决策的必要性、可行性、科学性进行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充分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做到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全面、真实、客观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发表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咨询论证意见的，应当及时补充提供书面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咨询论证意见。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报酬，由决策承办单位按照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决策咨询论证专家具有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情形之一的，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市司法行政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按程序提请市人民政府予以解聘：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（一）本人提出辞去决策咨询论证专家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（二）违反第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条规定，造成不良后果的；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（三）受到刑事处罚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受过与所在领域履行职责相关的行政处罚及行业处分的；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（四）年度内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次以上无正当理由不履行职责，或履行职责过程中发生重大失误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造成不良影响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（五）其他不适宜继续担任决策咨询论证专家的情形。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市人民政府对在重大行政决策咨询论证工作中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贡献的决策咨询论证专家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相关规定给予表彰。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由市司法行政机关负责解释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黑体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701" w:bottom="2041" w:left="1701" w:header="851" w:footer="1701" w:gutter="0"/>
      <w:cols w:space="720" w:num="1"/>
      <w:docGrid w:type="linesAndChars" w:linePitch="579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Nimbus Roman No9 L"/>
    <w:panose1 w:val="02020603050405020304"/>
    <w:charset w:val="86"/>
    <w:family w:val="roman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仿宋_GB2312"/>
        <w:sz w:val="28"/>
        <w:szCs w:val="28"/>
      </w:rPr>
    </w:pPr>
    <w:r>
      <w:rPr>
        <w:rStyle w:val="13"/>
        <w:rFonts w:hint="eastAsia" w:ascii="仿宋_GB231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3"/>
        <w:rFonts w:hint="eastAsia" w:ascii="仿宋_GB2312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TM5YzFkNzYzY2E3Yjg2YzYwMGEzMmQzMTIzMDMifQ=="/>
  </w:docVars>
  <w:rsids>
    <w:rsidRoot w:val="FEDFF870"/>
    <w:rsid w:val="01DD1E9F"/>
    <w:rsid w:val="01FB21DF"/>
    <w:rsid w:val="02B61778"/>
    <w:rsid w:val="03130100"/>
    <w:rsid w:val="04BB32C2"/>
    <w:rsid w:val="066A5D2D"/>
    <w:rsid w:val="07532CC8"/>
    <w:rsid w:val="0A124585"/>
    <w:rsid w:val="0B0A02EC"/>
    <w:rsid w:val="0B0D38DC"/>
    <w:rsid w:val="0B145D37"/>
    <w:rsid w:val="0DF418E9"/>
    <w:rsid w:val="12553195"/>
    <w:rsid w:val="17485695"/>
    <w:rsid w:val="17BB39DA"/>
    <w:rsid w:val="18322A97"/>
    <w:rsid w:val="197235A7"/>
    <w:rsid w:val="1ECD3F01"/>
    <w:rsid w:val="202D76F6"/>
    <w:rsid w:val="20333BF3"/>
    <w:rsid w:val="2184009C"/>
    <w:rsid w:val="219C61F6"/>
    <w:rsid w:val="259F3D67"/>
    <w:rsid w:val="25D845A8"/>
    <w:rsid w:val="2ADE440E"/>
    <w:rsid w:val="2CE3112C"/>
    <w:rsid w:val="2F3B0FA7"/>
    <w:rsid w:val="30737C24"/>
    <w:rsid w:val="310E5FB1"/>
    <w:rsid w:val="327B58F6"/>
    <w:rsid w:val="331623F1"/>
    <w:rsid w:val="332F8E3B"/>
    <w:rsid w:val="3337290D"/>
    <w:rsid w:val="33CD5020"/>
    <w:rsid w:val="340D18C0"/>
    <w:rsid w:val="349F0925"/>
    <w:rsid w:val="361B02C4"/>
    <w:rsid w:val="391B0497"/>
    <w:rsid w:val="3A161627"/>
    <w:rsid w:val="3BA66C62"/>
    <w:rsid w:val="3C1E103E"/>
    <w:rsid w:val="3C5462DE"/>
    <w:rsid w:val="3DB60AE0"/>
    <w:rsid w:val="3E6C764F"/>
    <w:rsid w:val="3FC01EDD"/>
    <w:rsid w:val="40DA007C"/>
    <w:rsid w:val="421528B1"/>
    <w:rsid w:val="4B195983"/>
    <w:rsid w:val="4BAF55A5"/>
    <w:rsid w:val="50112204"/>
    <w:rsid w:val="50446212"/>
    <w:rsid w:val="506E13FF"/>
    <w:rsid w:val="509D335C"/>
    <w:rsid w:val="53BD3B3C"/>
    <w:rsid w:val="53FD0BB2"/>
    <w:rsid w:val="556C5FEF"/>
    <w:rsid w:val="562C55AB"/>
    <w:rsid w:val="56327239"/>
    <w:rsid w:val="58A5459E"/>
    <w:rsid w:val="5D303DA6"/>
    <w:rsid w:val="5D945E1A"/>
    <w:rsid w:val="5DDDA040"/>
    <w:rsid w:val="5E274887"/>
    <w:rsid w:val="60111D69"/>
    <w:rsid w:val="60E6074F"/>
    <w:rsid w:val="61054162"/>
    <w:rsid w:val="61532759"/>
    <w:rsid w:val="65A0483F"/>
    <w:rsid w:val="67C143CC"/>
    <w:rsid w:val="682D3D04"/>
    <w:rsid w:val="68714A94"/>
    <w:rsid w:val="6B3831BC"/>
    <w:rsid w:val="6E8B0A75"/>
    <w:rsid w:val="6EB27C68"/>
    <w:rsid w:val="70671D7D"/>
    <w:rsid w:val="70F75DFE"/>
    <w:rsid w:val="75892850"/>
    <w:rsid w:val="76BF353F"/>
    <w:rsid w:val="77F78D2D"/>
    <w:rsid w:val="797309C6"/>
    <w:rsid w:val="79A66D7F"/>
    <w:rsid w:val="7A255DEF"/>
    <w:rsid w:val="7A747329"/>
    <w:rsid w:val="7B092521"/>
    <w:rsid w:val="7B7E784B"/>
    <w:rsid w:val="7BC3297B"/>
    <w:rsid w:val="7BDD01E4"/>
    <w:rsid w:val="7D352B13"/>
    <w:rsid w:val="7F775D22"/>
    <w:rsid w:val="BD4BF596"/>
    <w:rsid w:val="D7E7B612"/>
    <w:rsid w:val="EFFB6514"/>
    <w:rsid w:val="F7DA168B"/>
    <w:rsid w:val="F9C63DCD"/>
    <w:rsid w:val="FEDFF870"/>
    <w:rsid w:val="FF7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paragraph" w:customStyle="1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annotation text"/>
    <w:basedOn w:val="1"/>
    <w:qFormat/>
    <w:uiPriority w:val="0"/>
    <w:pPr>
      <w:adjustRightInd w:val="0"/>
      <w:snapToGrid w:val="0"/>
      <w:spacing w:line="240" w:lineRule="exact"/>
      <w:jc w:val="left"/>
    </w:pPr>
    <w:rPr>
      <w:rFonts w:ascii="Times New Roman" w:hAnsi="Times New Roman" w:eastAsia="宋体"/>
      <w:sz w:val="24"/>
    </w:r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afterLines="0"/>
      <w:jc w:val="left"/>
    </w:pPr>
    <w:rPr>
      <w:rFonts w:hint="default" w:ascii="Times New Roman" w:hAnsi="Times New Roman" w:eastAsia="宋体"/>
      <w:sz w:val="24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 w:afterLines="0"/>
      <w:jc w:val="center"/>
    </w:pPr>
    <w:rPr>
      <w:rFonts w:hint="default" w:ascii="Times New Roman" w:hAnsi="Times New Roman" w:eastAsia="宋体"/>
      <w:sz w:val="24"/>
    </w:rPr>
  </w:style>
  <w:style w:type="paragraph" w:styleId="8">
    <w:name w:val="toc 1"/>
    <w:basedOn w:val="1"/>
    <w:next w:val="1"/>
    <w:qFormat/>
    <w:uiPriority w:val="0"/>
    <w:rPr>
      <w:rFonts w:ascii="Times" w:hAnsi="Times"/>
      <w:sz w:val="24"/>
      <w:szCs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/>
    </w:rPr>
  </w:style>
  <w:style w:type="character" w:styleId="14">
    <w:name w:val="Emphasis"/>
    <w:basedOn w:val="11"/>
    <w:qFormat/>
    <w:uiPriority w:val="0"/>
    <w:rPr>
      <w:i/>
    </w:rPr>
  </w:style>
  <w:style w:type="paragraph" w:customStyle="1" w:styleId="15">
    <w:name w:val="正文文本缩进 21"/>
    <w:basedOn w:val="1"/>
    <w:qFormat/>
    <w:uiPriority w:val="0"/>
    <w:pPr>
      <w:spacing w:line="590" w:lineRule="exact"/>
      <w:ind w:firstLine="880" w:firstLineChars="200"/>
    </w:pPr>
    <w:rPr>
      <w:rFonts w:ascii="Times New Roman" w:hAnsi="Times New Roman"/>
    </w:rPr>
  </w:style>
  <w:style w:type="paragraph" w:customStyle="1" w:styleId="16">
    <w:name w:val="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7">
    <w:name w:val="Char Char Char Char Char 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3979</Words>
  <Characters>3988</Characters>
  <Lines>0</Lines>
  <Paragraphs>0</Paragraphs>
  <TotalTime>1</TotalTime>
  <ScaleCrop>false</ScaleCrop>
  <LinksUpToDate>false</LinksUpToDate>
  <CharactersWithSpaces>4074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2022-04-27T10:57:00Z</dcterms:created>
  <dc:creator>user</dc:creator>
  <cp:lastModifiedBy>admin</cp:lastModifiedBy>
  <cp:lastPrinted>2022-07-19T16:09:00Z</cp:lastPrinted>
  <dcterms:modified xsi:type="dcterms:W3CDTF">2022-09-14T15:43:58Z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E35C29E40F77404B999B247F12A43FDD</vt:lpwstr>
  </property>
</Properties>
</file>