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天长市应急管理局2022年度部门联合抽查工作计划</w:t>
      </w:r>
    </w:p>
    <w:tbl>
      <w:tblPr>
        <w:tblStyle w:val="6"/>
        <w:tblW w:w="14628" w:type="dxa"/>
        <w:tblInd w:w="-2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428"/>
        <w:gridCol w:w="1416"/>
        <w:gridCol w:w="1865"/>
        <w:gridCol w:w="1903"/>
        <w:gridCol w:w="1428"/>
        <w:gridCol w:w="1452"/>
        <w:gridCol w:w="1380"/>
        <w:gridCol w:w="1488"/>
        <w:gridCol w:w="1284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blHeader/>
        </w:trPr>
        <w:tc>
          <w:tcPr>
            <w:tcW w:w="972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序号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任务名称</w:t>
            </w:r>
          </w:p>
        </w:tc>
        <w:tc>
          <w:tcPr>
            <w:tcW w:w="1416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联查部门</w:t>
            </w:r>
          </w:p>
        </w:tc>
        <w:tc>
          <w:tcPr>
            <w:tcW w:w="1865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抽查事项</w:t>
            </w:r>
          </w:p>
        </w:tc>
        <w:tc>
          <w:tcPr>
            <w:tcW w:w="1903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联查对象</w:t>
            </w:r>
          </w:p>
        </w:tc>
        <w:tc>
          <w:tcPr>
            <w:tcW w:w="1428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检查主体</w:t>
            </w:r>
          </w:p>
        </w:tc>
        <w:tc>
          <w:tcPr>
            <w:tcW w:w="1452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责任分工</w:t>
            </w:r>
          </w:p>
        </w:tc>
        <w:tc>
          <w:tcPr>
            <w:tcW w:w="1380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抽查基数及比例</w:t>
            </w:r>
          </w:p>
        </w:tc>
        <w:tc>
          <w:tcPr>
            <w:tcW w:w="1488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时间安排</w:t>
            </w:r>
          </w:p>
        </w:tc>
        <w:tc>
          <w:tcPr>
            <w:tcW w:w="1284" w:type="dxa"/>
          </w:tcPr>
          <w:p>
            <w:pPr>
              <w:jc w:val="center"/>
              <w:rPr>
                <w:rFonts w:ascii="黑体" w:hAnsi="黑体" w:eastAsia="黑体"/>
                <w:kern w:val="0"/>
                <w:sz w:val="28"/>
                <w:szCs w:val="44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4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1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32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2022年度工贸行业涉有限空间作业安全企业安全生产情况部门联合抽查</w:t>
            </w:r>
          </w:p>
        </w:tc>
        <w:tc>
          <w:tcPr>
            <w:tcW w:w="1416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应急管理部门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企业落实安全生产主体责任20条检查要点和涉有限空间作业4条重点检查事项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全市应急管理信息平台涉有限空间企业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市应急管理部门、市场监管部门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市应急管理部门牵头发起，同级市场监管部门按职责分工负责。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32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2022年5月至11月</w:t>
            </w:r>
          </w:p>
        </w:tc>
        <w:tc>
          <w:tcPr>
            <w:tcW w:w="1296" w:type="dxa"/>
            <w:gridSpan w:val="2"/>
            <w:vMerge w:val="restart"/>
          </w:tcPr>
          <w:p>
            <w:pPr>
              <w:jc w:val="left"/>
              <w:rPr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2" w:type="dxa"/>
            <w:vMerge w:val="continue"/>
            <w:vAlign w:val="center"/>
          </w:tcPr>
          <w:p>
            <w:pPr>
              <w:spacing w:beforeLines="50" w:afterLines="50" w:line="400" w:lineRule="exact"/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beforeLines="50" w:afterLines="50" w:line="400" w:lineRule="exact"/>
            </w:pPr>
          </w:p>
        </w:tc>
        <w:tc>
          <w:tcPr>
            <w:tcW w:w="1416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市场监管部门</w:t>
            </w:r>
          </w:p>
        </w:tc>
        <w:tc>
          <w:tcPr>
            <w:tcW w:w="1865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特种设备使用登记情况；特种设备检验情况；特种设备作业人员配置、持证情况；特种设备隐患排查情况。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96" w:type="dxa"/>
            <w:gridSpan w:val="2"/>
            <w:vMerge w:val="continue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2" w:hRule="atLeast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2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2022年度非药品类易制毒化学品企业生产、经营情况部门联合抽查</w:t>
            </w:r>
          </w:p>
        </w:tc>
        <w:tc>
          <w:tcPr>
            <w:tcW w:w="1416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应急管理部门</w:t>
            </w:r>
          </w:p>
        </w:tc>
        <w:tc>
          <w:tcPr>
            <w:tcW w:w="1865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非药品类易制毒化学品生产、经营企业的监督检查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非药品类易制毒化学品生产企业和经营企业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市应急管理部门、公安部门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市应急管理部门牵头发起，同级公安部门按职责分工负责。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rPr>
                <w:rFonts w:hint="default" w:eastAsiaTheme="minorEastAsia"/>
                <w:color w:val="000000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  <w:szCs w:val="21"/>
                <w:lang w:val="en-US" w:eastAsia="zh-CN"/>
              </w:rPr>
              <w:t>6家、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4"/>
                <w:szCs w:val="21"/>
                <w:lang w:val="en-US" w:eastAsia="zh-CN"/>
              </w:rPr>
              <w:t>33.3%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32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2022年5月至11月</w:t>
            </w:r>
          </w:p>
        </w:tc>
        <w:tc>
          <w:tcPr>
            <w:tcW w:w="1296" w:type="dxa"/>
            <w:gridSpan w:val="2"/>
            <w:vMerge w:val="restart"/>
          </w:tcPr>
          <w:p>
            <w:pPr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972" w:type="dxa"/>
            <w:vMerge w:val="continue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公安部门</w:t>
            </w:r>
          </w:p>
        </w:tc>
        <w:tc>
          <w:tcPr>
            <w:tcW w:w="1865" w:type="dxa"/>
            <w:vAlign w:val="center"/>
          </w:tcPr>
          <w:p>
            <w:pPr>
              <w:spacing w:beforeLines="50" w:afterLines="50"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易制毒化学品企业购销、运输行为和企业年度报告情况的检查</w:t>
            </w:r>
          </w:p>
        </w:tc>
        <w:tc>
          <w:tcPr>
            <w:tcW w:w="1903" w:type="dxa"/>
            <w:vMerge w:val="continue"/>
          </w:tcPr>
          <w:p>
            <w:pPr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52" w:type="dxa"/>
            <w:vMerge w:val="continue"/>
          </w:tcPr>
          <w:p>
            <w:pPr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380" w:type="dxa"/>
            <w:vMerge w:val="continue"/>
          </w:tcPr>
          <w:p>
            <w:pPr>
              <w:rPr>
                <w:color w:val="000000"/>
                <w:kern w:val="0"/>
                <w:sz w:val="28"/>
              </w:rPr>
            </w:pPr>
          </w:p>
        </w:tc>
        <w:tc>
          <w:tcPr>
            <w:tcW w:w="1488" w:type="dxa"/>
            <w:vMerge w:val="continue"/>
          </w:tcPr>
          <w:p>
            <w:pPr>
              <w:rPr>
                <w:color w:val="000000"/>
                <w:kern w:val="0"/>
                <w:sz w:val="28"/>
              </w:rPr>
            </w:pPr>
          </w:p>
        </w:tc>
        <w:tc>
          <w:tcPr>
            <w:tcW w:w="1296" w:type="dxa"/>
            <w:gridSpan w:val="2"/>
            <w:vMerge w:val="continue"/>
          </w:tcPr>
          <w:p>
            <w:pPr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97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3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2022年度金属冶炼工贸企业部门联合抽查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应急管理部门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企业落实安全生产主体责任20条检查要点和涉钢铁企业8条重点检查事项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全市短流程钢铁冶炼企业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市应急管理部门、市场监管部门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市应急管理部门牵头发起，同级市场监管部门按职责分工负责。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2022年5月至11月</w:t>
            </w:r>
          </w:p>
        </w:tc>
        <w:tc>
          <w:tcPr>
            <w:tcW w:w="1296" w:type="dxa"/>
            <w:gridSpan w:val="2"/>
            <w:vMerge w:val="restart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atLeast"/>
        </w:trPr>
        <w:tc>
          <w:tcPr>
            <w:tcW w:w="97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市场监管部门</w:t>
            </w:r>
          </w:p>
        </w:tc>
        <w:tc>
          <w:tcPr>
            <w:tcW w:w="1865" w:type="dxa"/>
            <w:vAlign w:val="center"/>
          </w:tcPr>
          <w:p>
            <w:pPr>
              <w:spacing w:line="36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特种设备使用登记情况；特种设备检验情况；特种设备作业人员配置、持证情况；特种设备隐患排查情况。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296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9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8"/>
              </w:rPr>
              <w:t>4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2022年度粉尘涉爆工贸企业部门联合抽查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应急管理部门</w:t>
            </w:r>
          </w:p>
        </w:tc>
        <w:tc>
          <w:tcPr>
            <w:tcW w:w="1865" w:type="dxa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企业落实安全生产主体责任20条检查要点和涉粉尘涉爆6条重点检查事项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全市粉尘涉爆工贸企业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市应急管理部门、卫生健康部门</w:t>
            </w:r>
          </w:p>
        </w:tc>
        <w:tc>
          <w:tcPr>
            <w:tcW w:w="1452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市应急管理部门牵头发起，同级卫生健康部门按职责分工负责。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488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2022年5月至11月</w:t>
            </w:r>
          </w:p>
        </w:tc>
        <w:tc>
          <w:tcPr>
            <w:tcW w:w="1296" w:type="dxa"/>
            <w:gridSpan w:val="2"/>
            <w:vMerge w:val="restart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97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卫生健康部门</w:t>
            </w:r>
          </w:p>
        </w:tc>
        <w:tc>
          <w:tcPr>
            <w:tcW w:w="1865" w:type="dxa"/>
            <w:vAlign w:val="center"/>
          </w:tcPr>
          <w:p>
            <w:pPr>
              <w:spacing w:line="400" w:lineRule="exact"/>
              <w:rPr>
                <w:color w:val="000000"/>
                <w:kern w:val="0"/>
                <w:sz w:val="24"/>
                <w:szCs w:val="21"/>
              </w:rPr>
            </w:pPr>
            <w:r>
              <w:rPr>
                <w:rFonts w:hint="eastAsia"/>
                <w:color w:val="000000"/>
                <w:kern w:val="0"/>
                <w:sz w:val="24"/>
                <w:szCs w:val="21"/>
              </w:rPr>
              <w:t>存在职业病危害的用人单位职业卫生监督执法检查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  <w:tc>
          <w:tcPr>
            <w:tcW w:w="1296" w:type="dxa"/>
            <w:gridSpan w:val="2"/>
            <w:vMerge w:val="continue"/>
          </w:tcPr>
          <w:p>
            <w:pPr>
              <w:spacing w:line="400" w:lineRule="exact"/>
              <w:rPr>
                <w:rFonts w:ascii="仿宋_GB2312"/>
                <w:color w:val="000000"/>
                <w:kern w:val="0"/>
                <w:sz w:val="28"/>
              </w:rPr>
            </w:pPr>
          </w:p>
        </w:tc>
      </w:tr>
    </w:tbl>
    <w:p>
      <w:pPr>
        <w:sectPr>
          <w:headerReference r:id="rId3" w:type="default"/>
          <w:footerReference r:id="rId4" w:type="default"/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20" w:lineRule="exact"/>
        <w:ind w:right="204" w:rightChars="97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D76n6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WZT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QPvqfrQBAABSAwAADgAAAAAAAAABACAAAAA0AQAAZHJzL2Uyb0Rv&#10;Yy54bWxQSwUGAAAAAAYABgBZAQAAWg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iN2Q4YjQzYjdlNDU4NzU3MTBkOGNhZjA1Y2U4NzAifQ=="/>
  </w:docVars>
  <w:rsids>
    <w:rsidRoot w:val="719156FB"/>
    <w:rsid w:val="00106D9C"/>
    <w:rsid w:val="00145128"/>
    <w:rsid w:val="002A23E4"/>
    <w:rsid w:val="002E7530"/>
    <w:rsid w:val="00374EB3"/>
    <w:rsid w:val="003A60A7"/>
    <w:rsid w:val="003D6328"/>
    <w:rsid w:val="004C15AB"/>
    <w:rsid w:val="004E4125"/>
    <w:rsid w:val="004E4D9B"/>
    <w:rsid w:val="00555AAD"/>
    <w:rsid w:val="005D63EE"/>
    <w:rsid w:val="00744DE1"/>
    <w:rsid w:val="007631AE"/>
    <w:rsid w:val="007A2704"/>
    <w:rsid w:val="007E38CF"/>
    <w:rsid w:val="00813C22"/>
    <w:rsid w:val="00876434"/>
    <w:rsid w:val="00880208"/>
    <w:rsid w:val="008F26FA"/>
    <w:rsid w:val="009D49D6"/>
    <w:rsid w:val="00B47D51"/>
    <w:rsid w:val="00B559EF"/>
    <w:rsid w:val="00B93611"/>
    <w:rsid w:val="00C822F8"/>
    <w:rsid w:val="00CC5AB8"/>
    <w:rsid w:val="00CE6EEA"/>
    <w:rsid w:val="00D21E85"/>
    <w:rsid w:val="00D23CEC"/>
    <w:rsid w:val="00D56250"/>
    <w:rsid w:val="00DD1A13"/>
    <w:rsid w:val="00DF7FBA"/>
    <w:rsid w:val="00EF3717"/>
    <w:rsid w:val="00EF43F5"/>
    <w:rsid w:val="00F36C8A"/>
    <w:rsid w:val="00F572C5"/>
    <w:rsid w:val="00F86481"/>
    <w:rsid w:val="00FF7B4A"/>
    <w:rsid w:val="04D10F4D"/>
    <w:rsid w:val="0C421AE1"/>
    <w:rsid w:val="0C9561CD"/>
    <w:rsid w:val="0EF34391"/>
    <w:rsid w:val="16C138E6"/>
    <w:rsid w:val="176234A8"/>
    <w:rsid w:val="1C82309F"/>
    <w:rsid w:val="21376840"/>
    <w:rsid w:val="281D480A"/>
    <w:rsid w:val="29B12E5B"/>
    <w:rsid w:val="29B64AFA"/>
    <w:rsid w:val="2DDA51A7"/>
    <w:rsid w:val="2EFFFF34"/>
    <w:rsid w:val="31705F39"/>
    <w:rsid w:val="33796A1F"/>
    <w:rsid w:val="35D07626"/>
    <w:rsid w:val="3D8406B4"/>
    <w:rsid w:val="43933CDE"/>
    <w:rsid w:val="44D7674F"/>
    <w:rsid w:val="45292E1E"/>
    <w:rsid w:val="45C65FA5"/>
    <w:rsid w:val="47C3427A"/>
    <w:rsid w:val="47C76CEF"/>
    <w:rsid w:val="4CFF735C"/>
    <w:rsid w:val="4F6C2CA1"/>
    <w:rsid w:val="51FC0121"/>
    <w:rsid w:val="571275EC"/>
    <w:rsid w:val="573C3AC2"/>
    <w:rsid w:val="5AF754E9"/>
    <w:rsid w:val="5BFBA688"/>
    <w:rsid w:val="5DFC7CAD"/>
    <w:rsid w:val="6137051E"/>
    <w:rsid w:val="61842F89"/>
    <w:rsid w:val="621B655F"/>
    <w:rsid w:val="681633DC"/>
    <w:rsid w:val="68FB2B3D"/>
    <w:rsid w:val="6BC95C47"/>
    <w:rsid w:val="719156FB"/>
    <w:rsid w:val="F95F503B"/>
    <w:rsid w:val="FEFF7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Calibri" w:hAnsi="Calibri" w:eastAsia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9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。</Company>
  <Pages>5</Pages>
  <Words>714</Words>
  <Characters>748</Characters>
  <Lines>6</Lines>
  <Paragraphs>1</Paragraphs>
  <TotalTime>51</TotalTime>
  <ScaleCrop>false</ScaleCrop>
  <LinksUpToDate>false</LinksUpToDate>
  <CharactersWithSpaces>752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2022-04-07T15:14:00Z</dcterms:created>
  <dc:creator>袁瑞阳</dc:creator>
  <cp:lastModifiedBy>志祥</cp:lastModifiedBy>
  <cp:lastPrinted>2022-04-21T16:58:00Z</cp:lastPrinted>
  <dcterms:modified xsi:type="dcterms:W3CDTF">2022-05-17T07:14:43Z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A31283CF962A48289B591D9CE35EBE6B</vt:lpwstr>
  </property>
</Properties>
</file>