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40" w:lineRule="exact"/>
        <w:jc w:val="center"/>
        <w:rPr>
          <w:rFonts w:ascii="宋体" w:cs="华文中宋"/>
          <w:b/>
          <w:bCs/>
          <w:color w:val="000000"/>
          <w:sz w:val="44"/>
          <w:szCs w:val="44"/>
        </w:rPr>
      </w:pPr>
    </w:p>
    <w:p>
      <w:pPr>
        <w:pStyle w:val="10"/>
        <w:spacing w:line="640" w:lineRule="exact"/>
        <w:jc w:val="center"/>
        <w:rPr>
          <w:rFonts w:cs="华文中宋" w:asciiTheme="majorEastAsia" w:hAnsiTheme="majorEastAsia" w:eastAsiaTheme="majorEastAsia"/>
          <w:b/>
          <w:bCs/>
          <w:color w:val="000000"/>
          <w:sz w:val="44"/>
          <w:szCs w:val="44"/>
        </w:rPr>
      </w:pPr>
      <w:r>
        <w:rPr>
          <w:rFonts w:hint="eastAsia" w:cs="华文中宋" w:asciiTheme="majorEastAsia" w:hAnsiTheme="majorEastAsia" w:eastAsiaTheme="majorEastAsia"/>
          <w:b/>
          <w:bCs/>
          <w:color w:val="000000"/>
          <w:sz w:val="44"/>
          <w:szCs w:val="44"/>
        </w:rPr>
        <w:t>天长市银行业金融机构支持县域经济发展</w:t>
      </w:r>
    </w:p>
    <w:p>
      <w:pPr>
        <w:pStyle w:val="10"/>
        <w:spacing w:line="640" w:lineRule="exact"/>
        <w:jc w:val="center"/>
        <w:rPr>
          <w:rFonts w:cs="华文中宋" w:asciiTheme="majorEastAsia" w:hAnsiTheme="majorEastAsia" w:eastAsiaTheme="majorEastAsia"/>
          <w:b/>
          <w:bCs/>
          <w:color w:val="000000"/>
          <w:sz w:val="44"/>
          <w:szCs w:val="44"/>
        </w:rPr>
      </w:pPr>
      <w:r>
        <w:rPr>
          <w:rFonts w:hint="eastAsia" w:cs="华文中宋" w:asciiTheme="majorEastAsia" w:hAnsiTheme="majorEastAsia" w:eastAsiaTheme="majorEastAsia"/>
          <w:b/>
          <w:bCs/>
          <w:color w:val="000000"/>
          <w:sz w:val="44"/>
          <w:szCs w:val="44"/>
        </w:rPr>
        <w:t>考核奖励方案（讨论稿）</w:t>
      </w:r>
    </w:p>
    <w:p>
      <w:pPr>
        <w:pStyle w:val="10"/>
        <w:widowControl w:val="0"/>
        <w:autoSpaceDN w:val="0"/>
        <w:adjustRightInd w:val="0"/>
        <w:snapToGrid w:val="0"/>
        <w:spacing w:line="600" w:lineRule="exact"/>
        <w:ind w:firstLine="640"/>
        <w:jc w:val="center"/>
        <w:rPr>
          <w:rFonts w:ascii="仿宋_GB2312" w:eastAsia="仿宋_GB2312"/>
          <w:color w:val="000000"/>
          <w:sz w:val="32"/>
          <w:szCs w:val="32"/>
        </w:rPr>
      </w:pP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为充分调动我市银行业金融机构支持和服务地方经济发展的主动性和积极性，鼓励其进行产品创新、优化信贷结构、切实增加有效信贷投入，推动我市经济社会又好又快发展。现结合我市实际，修订本办法。</w:t>
      </w:r>
    </w:p>
    <w:p>
      <w:pPr>
        <w:pStyle w:val="10"/>
        <w:widowControl w:val="0"/>
        <w:autoSpaceDN w:val="0"/>
        <w:adjustRightInd w:val="0"/>
        <w:snapToGrid w:val="0"/>
        <w:spacing w:line="560" w:lineRule="exact"/>
        <w:ind w:firstLine="669" w:firstLineChars="196"/>
        <w:rPr>
          <w:rFonts w:ascii="黑体" w:hAnsi="黑体" w:eastAsia="黑体"/>
          <w:b/>
          <w:color w:val="000000"/>
          <w:sz w:val="34"/>
          <w:szCs w:val="34"/>
        </w:rPr>
      </w:pPr>
      <w:r>
        <w:rPr>
          <w:rFonts w:hint="eastAsia" w:ascii="黑体" w:hAnsi="黑体" w:eastAsia="黑体"/>
          <w:b/>
          <w:color w:val="000000"/>
          <w:sz w:val="34"/>
          <w:szCs w:val="34"/>
        </w:rPr>
        <w:t>一、总体思路</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鼓励银行业金融机构扩大信贷总量，进一步加大信贷支持力度，保障工业强市和重点项目、城市基础设施建设的顺利推进，最大限度地支持县域经济发展。</w:t>
      </w:r>
    </w:p>
    <w:p>
      <w:pPr>
        <w:pStyle w:val="10"/>
        <w:widowControl w:val="0"/>
        <w:autoSpaceDN w:val="0"/>
        <w:adjustRightInd w:val="0"/>
        <w:snapToGrid w:val="0"/>
        <w:spacing w:line="560" w:lineRule="exact"/>
        <w:ind w:firstLine="683" w:firstLineChars="200"/>
        <w:rPr>
          <w:rFonts w:ascii="黑体" w:hAnsi="黑体" w:eastAsia="黑体"/>
          <w:color w:val="000000"/>
          <w:sz w:val="34"/>
          <w:szCs w:val="34"/>
        </w:rPr>
      </w:pPr>
      <w:r>
        <w:rPr>
          <w:rFonts w:hint="eastAsia" w:ascii="黑体" w:hAnsi="黑体" w:eastAsia="黑体"/>
          <w:b/>
          <w:color w:val="000000"/>
          <w:sz w:val="34"/>
          <w:szCs w:val="34"/>
        </w:rPr>
        <w:t>二、总体原则</w:t>
      </w:r>
    </w:p>
    <w:p>
      <w:pPr>
        <w:adjustRightInd w:val="0"/>
        <w:snapToGrid w:val="0"/>
        <w:spacing w:line="560" w:lineRule="exact"/>
        <w:ind w:firstLine="681" w:firstLineChars="200"/>
        <w:rPr>
          <w:rFonts w:ascii="仿宋_GB2312" w:hAnsi="仿宋" w:eastAsia="仿宋_GB2312"/>
          <w:color w:val="000000"/>
          <w:kern w:val="0"/>
          <w:sz w:val="34"/>
          <w:szCs w:val="34"/>
        </w:rPr>
      </w:pPr>
      <w:r>
        <w:rPr>
          <w:rFonts w:hint="eastAsia" w:ascii="华文楷体" w:hAnsi="华文楷体" w:eastAsia="华文楷体"/>
          <w:b/>
          <w:color w:val="000000"/>
          <w:kern w:val="0"/>
          <w:sz w:val="34"/>
          <w:szCs w:val="34"/>
        </w:rPr>
        <w:t>（一）贡献度原则。</w:t>
      </w:r>
      <w:r>
        <w:rPr>
          <w:rFonts w:hint="eastAsia" w:ascii="仿宋_GB2312" w:hAnsi="仿宋" w:eastAsia="仿宋_GB2312"/>
          <w:color w:val="000000"/>
          <w:kern w:val="0"/>
          <w:sz w:val="34"/>
          <w:szCs w:val="34"/>
        </w:rPr>
        <w:t>本方案将各</w:t>
      </w:r>
      <w:r>
        <w:rPr>
          <w:rFonts w:hint="eastAsia" w:ascii="仿宋_GB2312" w:hAnsi="仿宋" w:eastAsia="仿宋_GB2312"/>
          <w:color w:val="000000"/>
          <w:sz w:val="34"/>
          <w:szCs w:val="34"/>
        </w:rPr>
        <w:t>银行业</w:t>
      </w:r>
      <w:r>
        <w:rPr>
          <w:rFonts w:hint="eastAsia" w:ascii="仿宋_GB2312" w:hAnsi="仿宋" w:eastAsia="仿宋_GB2312"/>
          <w:color w:val="000000"/>
          <w:kern w:val="0"/>
          <w:sz w:val="34"/>
          <w:szCs w:val="34"/>
        </w:rPr>
        <w:t>金融机构对我市经济社会发展的贡献程度作为重要的评价因素。</w:t>
      </w:r>
    </w:p>
    <w:p>
      <w:pPr>
        <w:adjustRightInd w:val="0"/>
        <w:snapToGrid w:val="0"/>
        <w:spacing w:line="560" w:lineRule="exact"/>
        <w:ind w:firstLine="681" w:firstLineChars="200"/>
        <w:rPr>
          <w:rFonts w:ascii="仿宋_GB2312" w:hAnsi="仿宋" w:eastAsia="仿宋_GB2312"/>
          <w:color w:val="000000"/>
          <w:kern w:val="0"/>
          <w:sz w:val="34"/>
          <w:szCs w:val="34"/>
        </w:rPr>
      </w:pPr>
      <w:r>
        <w:rPr>
          <w:rFonts w:hint="eastAsia" w:ascii="华文楷体" w:hAnsi="华文楷体" w:eastAsia="华文楷体"/>
          <w:b/>
          <w:color w:val="000000"/>
          <w:kern w:val="0"/>
          <w:sz w:val="34"/>
          <w:szCs w:val="34"/>
        </w:rPr>
        <w:t>（二）客观性原则。</w:t>
      </w:r>
      <w:r>
        <w:rPr>
          <w:rFonts w:hint="eastAsia" w:ascii="仿宋_GB2312" w:hAnsi="仿宋" w:eastAsia="仿宋_GB2312"/>
          <w:color w:val="000000"/>
          <w:kern w:val="0"/>
          <w:sz w:val="34"/>
          <w:szCs w:val="34"/>
        </w:rPr>
        <w:t>本方案采用市金融监管局、中国人民银行天长市支行等部门量化指标为标准。</w:t>
      </w:r>
    </w:p>
    <w:p>
      <w:pPr>
        <w:adjustRightInd w:val="0"/>
        <w:snapToGrid w:val="0"/>
        <w:spacing w:line="560" w:lineRule="exact"/>
        <w:ind w:firstLine="681" w:firstLineChars="200"/>
        <w:rPr>
          <w:rFonts w:ascii="仿宋_GB2312" w:hAnsi="仿宋" w:eastAsia="仿宋_GB2312"/>
          <w:color w:val="000000"/>
          <w:kern w:val="0"/>
          <w:sz w:val="34"/>
          <w:szCs w:val="34"/>
        </w:rPr>
      </w:pPr>
      <w:r>
        <w:rPr>
          <w:rFonts w:hint="eastAsia" w:ascii="华文楷体" w:hAnsi="华文楷体" w:eastAsia="华文楷体"/>
          <w:b/>
          <w:color w:val="000000"/>
          <w:kern w:val="0"/>
          <w:sz w:val="34"/>
          <w:szCs w:val="34"/>
        </w:rPr>
        <w:t>（三）可操作性原则。</w:t>
      </w:r>
      <w:r>
        <w:rPr>
          <w:rFonts w:hint="eastAsia" w:ascii="仿宋_GB2312" w:hAnsi="仿宋" w:eastAsia="仿宋_GB2312"/>
          <w:color w:val="000000"/>
          <w:kern w:val="0"/>
          <w:sz w:val="34"/>
          <w:szCs w:val="34"/>
        </w:rPr>
        <w:t>指标体系的设计力求简便合理，具有科学性、导向性和可比性。</w:t>
      </w:r>
    </w:p>
    <w:p>
      <w:pPr>
        <w:adjustRightInd w:val="0"/>
        <w:snapToGrid w:val="0"/>
        <w:spacing w:line="560" w:lineRule="exact"/>
        <w:ind w:firstLine="683" w:firstLineChars="200"/>
        <w:rPr>
          <w:rFonts w:ascii="黑体" w:hAnsi="黑体" w:eastAsia="黑体"/>
          <w:b/>
          <w:color w:val="000000"/>
          <w:kern w:val="0"/>
          <w:sz w:val="34"/>
          <w:szCs w:val="34"/>
        </w:rPr>
      </w:pPr>
      <w:r>
        <w:rPr>
          <w:rFonts w:hint="eastAsia" w:ascii="黑体" w:hAnsi="黑体" w:eastAsia="黑体"/>
          <w:b/>
          <w:color w:val="000000"/>
          <w:kern w:val="0"/>
          <w:sz w:val="34"/>
          <w:szCs w:val="34"/>
        </w:rPr>
        <w:t>三、考核对象</w:t>
      </w:r>
    </w:p>
    <w:p>
      <w:pPr>
        <w:pStyle w:val="10"/>
        <w:widowControl w:val="0"/>
        <w:autoSpaceDN w:val="0"/>
        <w:adjustRightInd w:val="0"/>
        <w:snapToGrid w:val="0"/>
        <w:spacing w:line="560" w:lineRule="exact"/>
        <w:ind w:firstLine="672" w:firstLineChars="200"/>
        <w:rPr>
          <w:rFonts w:ascii="仿宋_GB2312" w:hAnsi="仿宋" w:eastAsia="仿宋_GB2312"/>
          <w:color w:val="000000"/>
          <w:spacing w:val="-2"/>
          <w:sz w:val="34"/>
          <w:szCs w:val="34"/>
        </w:rPr>
      </w:pPr>
      <w:r>
        <w:rPr>
          <w:rFonts w:hint="eastAsia" w:ascii="仿宋_GB2312" w:hAnsi="仿宋" w:eastAsia="仿宋_GB2312"/>
          <w:color w:val="000000"/>
          <w:spacing w:val="-2"/>
          <w:sz w:val="34"/>
          <w:szCs w:val="34"/>
        </w:rPr>
        <w:t>考核对象为我市银行业金融机构和金融监管部门：中国工商银行股份有限公司天长支行、中国农业银行股份有限公司天长市支行、中国银行股份有限公司天长支行、中国建设银行股份有限公司天长支行、安徽天长农村商业银行股份有限公司、徽商银行滁州天长支行、中国邮政储蓄银行股份有限公司天长市支行、江苏江阴农村商业银行股份有限公司天长支行、中国农业发展银行天长市支行、天长民生村镇银行股份有限公司、兴业银行股份有限公司天长支行、桐城农村商业银行股份有限公司天长支行、中国人民银行天长市支行、滁州银保监分局天长监管组。</w:t>
      </w:r>
    </w:p>
    <w:p>
      <w:pPr>
        <w:adjustRightInd w:val="0"/>
        <w:snapToGrid w:val="0"/>
        <w:spacing w:line="560" w:lineRule="exact"/>
        <w:ind w:firstLine="683" w:firstLineChars="200"/>
        <w:rPr>
          <w:rFonts w:ascii="黑体" w:hAnsi="黑体" w:eastAsia="黑体"/>
          <w:b/>
          <w:color w:val="000000"/>
          <w:kern w:val="0"/>
          <w:sz w:val="34"/>
          <w:szCs w:val="34"/>
        </w:rPr>
      </w:pPr>
      <w:r>
        <w:rPr>
          <w:rFonts w:hint="eastAsia" w:ascii="黑体" w:hAnsi="黑体" w:eastAsia="黑体"/>
          <w:b/>
          <w:color w:val="000000"/>
          <w:kern w:val="0"/>
          <w:sz w:val="34"/>
          <w:szCs w:val="34"/>
        </w:rPr>
        <w:t>四、组织领导</w:t>
      </w:r>
    </w:p>
    <w:p>
      <w:pPr>
        <w:pStyle w:val="10"/>
        <w:widowControl w:val="0"/>
        <w:autoSpaceDN w:val="0"/>
        <w:adjustRightInd w:val="0"/>
        <w:snapToGrid w:val="0"/>
        <w:spacing w:line="560" w:lineRule="exact"/>
        <w:ind w:firstLine="664" w:firstLineChars="200"/>
        <w:rPr>
          <w:rFonts w:ascii="仿宋_GB2312" w:hAnsi="仿宋" w:eastAsia="仿宋_GB2312"/>
          <w:color w:val="000000"/>
          <w:spacing w:val="-4"/>
          <w:sz w:val="34"/>
          <w:szCs w:val="34"/>
        </w:rPr>
      </w:pPr>
      <w:r>
        <w:rPr>
          <w:rFonts w:hint="eastAsia" w:ascii="仿宋_GB2312" w:hAnsi="仿宋" w:eastAsia="仿宋_GB2312"/>
          <w:color w:val="000000"/>
          <w:spacing w:val="-4"/>
          <w:sz w:val="34"/>
          <w:szCs w:val="34"/>
        </w:rPr>
        <w:t>市银行业金融机构支持县域经济发展领导小组负责考核的组织、协调等工作，领导小组下设办公室，设在市金融监管局，由市金融监管局、市财政局、人行天长支行、市银保监组等单位抽调专人，具体负责考核工作的实施。</w:t>
      </w:r>
    </w:p>
    <w:p>
      <w:pPr>
        <w:adjustRightInd w:val="0"/>
        <w:snapToGrid w:val="0"/>
        <w:spacing w:line="560" w:lineRule="exact"/>
        <w:ind w:firstLine="683" w:firstLineChars="200"/>
        <w:rPr>
          <w:rFonts w:ascii="黑体" w:hAnsi="黑体" w:eastAsia="黑体"/>
          <w:b/>
          <w:color w:val="000000"/>
          <w:kern w:val="0"/>
          <w:sz w:val="34"/>
          <w:szCs w:val="34"/>
        </w:rPr>
      </w:pPr>
      <w:r>
        <w:rPr>
          <w:rFonts w:hint="eastAsia" w:ascii="黑体" w:hAnsi="黑体" w:eastAsia="黑体"/>
          <w:b/>
          <w:color w:val="000000"/>
          <w:kern w:val="0"/>
          <w:sz w:val="34"/>
          <w:szCs w:val="34"/>
        </w:rPr>
        <w:t>五、考核内容和考核办法</w:t>
      </w:r>
    </w:p>
    <w:p>
      <w:pPr>
        <w:adjustRightInd w:val="0"/>
        <w:snapToGrid w:val="0"/>
        <w:spacing w:line="560" w:lineRule="exact"/>
        <w:ind w:firstLine="681" w:firstLineChars="200"/>
        <w:rPr>
          <w:rFonts w:ascii="华文楷体" w:hAnsi="华文楷体" w:eastAsia="华文楷体"/>
          <w:b/>
          <w:color w:val="000000"/>
          <w:kern w:val="0"/>
          <w:sz w:val="34"/>
          <w:szCs w:val="34"/>
        </w:rPr>
      </w:pPr>
      <w:r>
        <w:rPr>
          <w:rFonts w:hint="eastAsia" w:ascii="华文楷体" w:hAnsi="华文楷体" w:eastAsia="华文楷体"/>
          <w:b/>
          <w:color w:val="000000"/>
          <w:kern w:val="0"/>
          <w:sz w:val="34"/>
          <w:szCs w:val="34"/>
        </w:rPr>
        <w:t>（一）银行业金融机构</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考核分为季度考核和年度考核。一至三季度考核为每季度考核一次，考核结果作为调整季度政府性存款的依据。第四季度考核数据作为年度考核结果，作为年度调整政府性存款和奖励各机构的依据。</w:t>
      </w:r>
    </w:p>
    <w:p>
      <w:pPr>
        <w:pStyle w:val="10"/>
        <w:widowControl w:val="0"/>
        <w:autoSpaceDN w:val="0"/>
        <w:adjustRightInd w:val="0"/>
        <w:snapToGrid w:val="0"/>
        <w:spacing w:line="600" w:lineRule="exact"/>
        <w:ind w:firstLine="683" w:firstLineChars="200"/>
        <w:rPr>
          <w:rFonts w:ascii="仿宋_GB2312" w:hAnsi="仿宋" w:eastAsia="仿宋_GB2312"/>
          <w:color w:val="000000"/>
          <w:sz w:val="34"/>
          <w:szCs w:val="34"/>
        </w:rPr>
      </w:pPr>
      <w:r>
        <w:rPr>
          <w:rFonts w:ascii="仿宋_GB2312" w:hAnsi="仿宋" w:eastAsia="仿宋_GB2312"/>
          <w:b/>
          <w:color w:val="000000"/>
          <w:sz w:val="34"/>
          <w:szCs w:val="34"/>
        </w:rPr>
        <w:t>1</w:t>
      </w:r>
      <w:r>
        <w:rPr>
          <w:rFonts w:hint="eastAsia" w:ascii="仿宋_GB2312" w:hAnsi="仿宋" w:eastAsia="仿宋_GB2312"/>
          <w:b/>
          <w:color w:val="000000"/>
          <w:sz w:val="34"/>
          <w:szCs w:val="34"/>
        </w:rPr>
        <w:t>.季度考核</w:t>
      </w:r>
    </w:p>
    <w:p>
      <w:pPr>
        <w:pStyle w:val="10"/>
        <w:widowControl w:val="0"/>
        <w:autoSpaceDN w:val="0"/>
        <w:adjustRightInd w:val="0"/>
        <w:snapToGrid w:val="0"/>
        <w:spacing w:line="56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w:t>
      </w:r>
      <w:r>
        <w:rPr>
          <w:rFonts w:ascii="仿宋_GB2312" w:hAnsi="仿宋" w:eastAsia="仿宋_GB2312"/>
          <w:b/>
          <w:color w:val="000000"/>
          <w:sz w:val="34"/>
          <w:szCs w:val="34"/>
        </w:rPr>
        <w:t>1</w:t>
      </w:r>
      <w:r>
        <w:rPr>
          <w:rFonts w:hint="eastAsia" w:ascii="仿宋_GB2312" w:hAnsi="仿宋" w:eastAsia="仿宋_GB2312"/>
          <w:b/>
          <w:color w:val="000000"/>
          <w:sz w:val="34"/>
          <w:szCs w:val="34"/>
        </w:rPr>
        <w:t>）考核指标</w:t>
      </w:r>
    </w:p>
    <w:p>
      <w:pPr>
        <w:pStyle w:val="10"/>
        <w:widowControl w:val="0"/>
        <w:autoSpaceDN w:val="0"/>
        <w:adjustRightInd w:val="0"/>
        <w:snapToGrid w:val="0"/>
        <w:spacing w:line="560" w:lineRule="exact"/>
        <w:ind w:firstLine="680" w:firstLineChars="200"/>
        <w:rPr>
          <w:rFonts w:ascii="仿宋_GB2312" w:hAnsi="仿宋" w:eastAsia="仿宋_GB2312"/>
          <w:bCs/>
          <w:color w:val="000000"/>
          <w:sz w:val="34"/>
          <w:szCs w:val="34"/>
        </w:rPr>
      </w:pPr>
      <w:r>
        <w:rPr>
          <w:rFonts w:hint="eastAsia" w:ascii="仿宋_GB2312" w:hAnsi="仿宋" w:eastAsia="仿宋_GB2312"/>
          <w:bCs/>
          <w:color w:val="000000"/>
          <w:sz w:val="34"/>
          <w:szCs w:val="34"/>
        </w:rPr>
        <w:t>一是贷款增量指标（</w:t>
      </w:r>
      <w:r>
        <w:rPr>
          <w:rFonts w:ascii="仿宋_GB2312" w:hAnsi="仿宋" w:eastAsia="仿宋_GB2312"/>
          <w:bCs/>
          <w:color w:val="000000"/>
          <w:sz w:val="34"/>
          <w:szCs w:val="34"/>
        </w:rPr>
        <w:t>60</w:t>
      </w:r>
      <w:r>
        <w:rPr>
          <w:rFonts w:hint="eastAsia" w:ascii="仿宋_GB2312" w:hAnsi="仿宋" w:eastAsia="仿宋_GB2312"/>
          <w:bCs/>
          <w:color w:val="000000"/>
          <w:sz w:val="34"/>
          <w:szCs w:val="34"/>
        </w:rPr>
        <w:t>分）</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①贷款增量任务完成情况（20分）：得分</w:t>
      </w:r>
      <w:r>
        <w:rPr>
          <w:rFonts w:ascii="仿宋_GB2312" w:hAnsi="仿宋" w:eastAsia="仿宋_GB2312"/>
          <w:color w:val="000000"/>
          <w:sz w:val="34"/>
          <w:szCs w:val="34"/>
        </w:rPr>
        <w:t>=</w:t>
      </w:r>
      <w:r>
        <w:rPr>
          <w:rFonts w:hint="eastAsia" w:ascii="仿宋_GB2312" w:hAnsi="仿宋" w:eastAsia="仿宋_GB2312"/>
          <w:color w:val="000000"/>
          <w:sz w:val="34"/>
          <w:szCs w:val="34"/>
        </w:rPr>
        <w:t>银行业金融机构贷款较年初增量占全年目标任务的比例</w:t>
      </w:r>
      <w:r>
        <w:rPr>
          <w:rFonts w:ascii="仿宋_GB2312" w:hAnsi="仿宋" w:eastAsia="仿宋_GB2312"/>
          <w:color w:val="000000"/>
          <w:sz w:val="34"/>
          <w:szCs w:val="34"/>
        </w:rPr>
        <w:t>*</w:t>
      </w:r>
      <w:r>
        <w:rPr>
          <w:rFonts w:hint="eastAsia" w:ascii="仿宋_GB2312" w:hAnsi="仿宋" w:eastAsia="仿宋_GB2312"/>
          <w:color w:val="000000"/>
          <w:sz w:val="34"/>
          <w:szCs w:val="34"/>
        </w:rPr>
        <w:t>15，此项最高得分20分。</w:t>
      </w:r>
    </w:p>
    <w:p>
      <w:pPr>
        <w:pStyle w:val="10"/>
        <w:widowControl w:val="0"/>
        <w:autoSpaceDN w:val="0"/>
        <w:adjustRightInd w:val="0"/>
        <w:snapToGrid w:val="0"/>
        <w:spacing w:line="560" w:lineRule="exact"/>
        <w:ind w:firstLine="664" w:firstLineChars="200"/>
        <w:rPr>
          <w:rFonts w:ascii="仿宋_GB2312" w:hAnsi="仿宋" w:eastAsia="仿宋_GB2312"/>
          <w:color w:val="000000"/>
          <w:sz w:val="34"/>
          <w:szCs w:val="34"/>
        </w:rPr>
      </w:pPr>
      <w:r>
        <w:rPr>
          <w:rFonts w:hint="eastAsia" w:ascii="仿宋_GB2312" w:hAnsi="仿宋" w:eastAsia="仿宋_GB2312"/>
          <w:color w:val="000000"/>
          <w:spacing w:val="-4"/>
          <w:sz w:val="34"/>
          <w:szCs w:val="34"/>
        </w:rPr>
        <w:t>②制造业企业贷款投放情况（20分）：采用人行认定的制造业企业信贷新增金额40%和增速60%考核相结合，按照功效系数法考核得分</w:t>
      </w:r>
      <w:r>
        <w:rPr>
          <w:rFonts w:hint="eastAsia" w:ascii="仿宋_GB2312" w:hAnsi="仿宋" w:eastAsia="仿宋_GB2312"/>
          <w:color w:val="000000"/>
          <w:sz w:val="34"/>
          <w:szCs w:val="34"/>
        </w:rPr>
        <w:t>。</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③中小微企业贷款投放情况指标（20分）：采用人行认定的中小微企业信贷新增金额40%和增速60%考核相结合，按照功效系数法考核得分</w:t>
      </w:r>
      <w:r>
        <w:rPr>
          <w:rFonts w:hint="eastAsia" w:ascii="仿宋_GB2312" w:hAnsi="仿宋" w:eastAsia="仿宋_GB2312"/>
          <w:color w:val="000000"/>
          <w:spacing w:val="-4"/>
          <w:sz w:val="34"/>
          <w:szCs w:val="34"/>
        </w:rPr>
        <w:t>。</w:t>
      </w:r>
    </w:p>
    <w:p>
      <w:pPr>
        <w:pStyle w:val="10"/>
        <w:widowControl w:val="0"/>
        <w:autoSpaceDN w:val="0"/>
        <w:adjustRightInd w:val="0"/>
        <w:snapToGrid w:val="0"/>
        <w:spacing w:line="560" w:lineRule="exact"/>
        <w:ind w:firstLine="680" w:firstLineChars="200"/>
        <w:rPr>
          <w:rFonts w:ascii="仿宋_GB2312" w:hAnsi="仿宋" w:eastAsia="仿宋_GB2312"/>
          <w:bCs/>
          <w:color w:val="000000"/>
          <w:sz w:val="34"/>
          <w:szCs w:val="34"/>
        </w:rPr>
      </w:pPr>
      <w:r>
        <w:rPr>
          <w:rFonts w:hint="eastAsia" w:ascii="仿宋_GB2312" w:hAnsi="仿宋" w:eastAsia="仿宋_GB2312"/>
          <w:bCs/>
          <w:color w:val="000000"/>
          <w:sz w:val="34"/>
          <w:szCs w:val="34"/>
        </w:rPr>
        <w:t>二是余额存贷比考核指标（25分）</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考核方法为分档考核法。</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法人银行业金融机构期末存贷比</w:t>
      </w:r>
      <w:r>
        <w:rPr>
          <w:rFonts w:ascii="仿宋_GB2312" w:hAnsi="仿宋" w:eastAsia="仿宋_GB2312"/>
          <w:color w:val="000000"/>
          <w:sz w:val="34"/>
          <w:szCs w:val="34"/>
        </w:rPr>
        <w:t>=</w:t>
      </w:r>
      <w:r>
        <w:rPr>
          <w:rFonts w:hint="eastAsia" w:ascii="仿宋_GB2312" w:hAnsi="仿宋" w:eastAsia="仿宋_GB2312"/>
          <w:color w:val="000000"/>
          <w:sz w:val="34"/>
          <w:szCs w:val="34"/>
        </w:rPr>
        <w:t>实际存贷比</w:t>
      </w:r>
      <w:r>
        <w:rPr>
          <w:rFonts w:ascii="仿宋_GB2312" w:hAnsi="仿宋" w:eastAsia="仿宋_GB2312"/>
          <w:color w:val="000000"/>
          <w:sz w:val="34"/>
          <w:szCs w:val="34"/>
        </w:rPr>
        <w:t>/0.75</w:t>
      </w:r>
      <w:r>
        <w:rPr>
          <w:rFonts w:hint="eastAsia" w:ascii="仿宋_GB2312" w:hAnsi="仿宋" w:eastAsia="仿宋_GB2312"/>
          <w:color w:val="000000"/>
          <w:sz w:val="34"/>
          <w:szCs w:val="34"/>
        </w:rPr>
        <w:t>，期末存贷比低于</w:t>
      </w:r>
      <w:r>
        <w:rPr>
          <w:rFonts w:ascii="仿宋_GB2312" w:hAnsi="仿宋" w:eastAsia="仿宋_GB2312"/>
          <w:color w:val="000000"/>
          <w:sz w:val="34"/>
          <w:szCs w:val="34"/>
        </w:rPr>
        <w:t>70%</w:t>
      </w:r>
      <w:r>
        <w:rPr>
          <w:rFonts w:hint="eastAsia" w:ascii="仿宋_GB2312" w:hAnsi="仿宋" w:eastAsia="仿宋_GB2312"/>
          <w:color w:val="000000"/>
          <w:sz w:val="34"/>
          <w:szCs w:val="34"/>
        </w:rPr>
        <w:t>，不得分；</w:t>
      </w:r>
      <w:r>
        <w:rPr>
          <w:rFonts w:ascii="仿宋_GB2312" w:hAnsi="仿宋" w:eastAsia="仿宋_GB2312"/>
          <w:color w:val="000000"/>
          <w:sz w:val="34"/>
          <w:szCs w:val="34"/>
        </w:rPr>
        <w:t>70%</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80%</w:t>
      </w:r>
      <w:r>
        <w:rPr>
          <w:rFonts w:hint="eastAsia" w:ascii="仿宋_GB2312" w:hAnsi="仿宋" w:eastAsia="仿宋_GB2312"/>
          <w:color w:val="000000"/>
          <w:sz w:val="34"/>
          <w:szCs w:val="34"/>
        </w:rPr>
        <w:t>，得</w:t>
      </w:r>
      <w:r>
        <w:rPr>
          <w:rFonts w:ascii="仿宋_GB2312" w:hAnsi="仿宋" w:eastAsia="仿宋_GB2312"/>
          <w:color w:val="000000"/>
          <w:sz w:val="34"/>
          <w:szCs w:val="34"/>
        </w:rPr>
        <w:t>1</w:t>
      </w:r>
      <w:r>
        <w:rPr>
          <w:rFonts w:hint="eastAsia" w:ascii="仿宋_GB2312" w:hAnsi="仿宋" w:eastAsia="仿宋_GB2312"/>
          <w:color w:val="000000"/>
          <w:sz w:val="34"/>
          <w:szCs w:val="34"/>
        </w:rPr>
        <w:t>0分；</w:t>
      </w:r>
      <w:r>
        <w:rPr>
          <w:rFonts w:ascii="仿宋_GB2312" w:hAnsi="仿宋" w:eastAsia="仿宋_GB2312"/>
          <w:color w:val="000000"/>
          <w:sz w:val="34"/>
          <w:szCs w:val="34"/>
        </w:rPr>
        <w:t>80%</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85%</w:t>
      </w:r>
      <w:r>
        <w:rPr>
          <w:rFonts w:hint="eastAsia" w:ascii="仿宋_GB2312" w:hAnsi="仿宋" w:eastAsia="仿宋_GB2312"/>
          <w:color w:val="000000"/>
          <w:sz w:val="34"/>
          <w:szCs w:val="34"/>
        </w:rPr>
        <w:t>，得15分；</w:t>
      </w:r>
      <w:r>
        <w:rPr>
          <w:rFonts w:ascii="仿宋_GB2312" w:hAnsi="仿宋" w:eastAsia="仿宋_GB2312"/>
          <w:color w:val="000000"/>
          <w:sz w:val="34"/>
          <w:szCs w:val="34"/>
        </w:rPr>
        <w:t>85%</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90%</w:t>
      </w:r>
      <w:r>
        <w:rPr>
          <w:rFonts w:hint="eastAsia" w:ascii="仿宋_GB2312" w:hAnsi="仿宋" w:eastAsia="仿宋_GB2312"/>
          <w:color w:val="000000"/>
          <w:sz w:val="34"/>
          <w:szCs w:val="34"/>
        </w:rPr>
        <w:t>，得</w:t>
      </w:r>
      <w:r>
        <w:rPr>
          <w:rFonts w:ascii="仿宋_GB2312" w:hAnsi="仿宋" w:eastAsia="仿宋_GB2312"/>
          <w:color w:val="000000"/>
          <w:sz w:val="34"/>
          <w:szCs w:val="34"/>
        </w:rPr>
        <w:t>2</w:t>
      </w:r>
      <w:r>
        <w:rPr>
          <w:rFonts w:hint="eastAsia" w:ascii="仿宋_GB2312" w:hAnsi="仿宋" w:eastAsia="仿宋_GB2312"/>
          <w:color w:val="000000"/>
          <w:sz w:val="34"/>
          <w:szCs w:val="34"/>
        </w:rPr>
        <w:t>0分；期末存贷比≥</w:t>
      </w:r>
      <w:r>
        <w:rPr>
          <w:rFonts w:ascii="仿宋_GB2312" w:hAnsi="仿宋" w:eastAsia="仿宋_GB2312"/>
          <w:color w:val="000000"/>
          <w:sz w:val="34"/>
          <w:szCs w:val="34"/>
        </w:rPr>
        <w:t>90%</w:t>
      </w:r>
      <w:r>
        <w:rPr>
          <w:rFonts w:hint="eastAsia" w:ascii="仿宋_GB2312" w:hAnsi="仿宋" w:eastAsia="仿宋_GB2312"/>
          <w:color w:val="000000"/>
          <w:sz w:val="34"/>
          <w:szCs w:val="34"/>
        </w:rPr>
        <w:t>，得25分。</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非法人银行业金融机构期末存贷比按实际计算，期末存贷比低于</w:t>
      </w:r>
      <w:r>
        <w:rPr>
          <w:rFonts w:ascii="仿宋_GB2312" w:hAnsi="仿宋" w:eastAsia="仿宋_GB2312"/>
          <w:color w:val="000000"/>
          <w:sz w:val="34"/>
          <w:szCs w:val="34"/>
        </w:rPr>
        <w:t>70%</w:t>
      </w:r>
      <w:r>
        <w:rPr>
          <w:rFonts w:hint="eastAsia" w:ascii="仿宋_GB2312" w:hAnsi="仿宋" w:eastAsia="仿宋_GB2312"/>
          <w:color w:val="000000"/>
          <w:sz w:val="34"/>
          <w:szCs w:val="34"/>
        </w:rPr>
        <w:t>，不得分；</w:t>
      </w:r>
      <w:r>
        <w:rPr>
          <w:rFonts w:ascii="仿宋_GB2312" w:hAnsi="仿宋" w:eastAsia="仿宋_GB2312"/>
          <w:color w:val="000000"/>
          <w:sz w:val="34"/>
          <w:szCs w:val="34"/>
        </w:rPr>
        <w:t>70%</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80%</w:t>
      </w:r>
      <w:r>
        <w:rPr>
          <w:rFonts w:hint="eastAsia" w:ascii="仿宋_GB2312" w:hAnsi="仿宋" w:eastAsia="仿宋_GB2312"/>
          <w:color w:val="000000"/>
          <w:sz w:val="34"/>
          <w:szCs w:val="34"/>
        </w:rPr>
        <w:t>，得8分；</w:t>
      </w:r>
      <w:r>
        <w:rPr>
          <w:rFonts w:ascii="仿宋_GB2312" w:hAnsi="仿宋" w:eastAsia="仿宋_GB2312"/>
          <w:color w:val="000000"/>
          <w:sz w:val="34"/>
          <w:szCs w:val="34"/>
        </w:rPr>
        <w:t>80%</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90%</w:t>
      </w:r>
      <w:r>
        <w:rPr>
          <w:rFonts w:hint="eastAsia" w:ascii="仿宋_GB2312" w:hAnsi="仿宋" w:eastAsia="仿宋_GB2312"/>
          <w:color w:val="000000"/>
          <w:sz w:val="34"/>
          <w:szCs w:val="34"/>
        </w:rPr>
        <w:t>，得12分；</w:t>
      </w:r>
      <w:r>
        <w:rPr>
          <w:rFonts w:ascii="仿宋_GB2312" w:hAnsi="仿宋" w:eastAsia="仿宋_GB2312"/>
          <w:color w:val="000000"/>
          <w:sz w:val="34"/>
          <w:szCs w:val="34"/>
        </w:rPr>
        <w:t>90%</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100%</w:t>
      </w:r>
      <w:r>
        <w:rPr>
          <w:rFonts w:hint="eastAsia" w:ascii="仿宋_GB2312" w:hAnsi="仿宋" w:eastAsia="仿宋_GB2312"/>
          <w:color w:val="000000"/>
          <w:sz w:val="34"/>
          <w:szCs w:val="34"/>
        </w:rPr>
        <w:t>，得16分；</w:t>
      </w:r>
      <w:r>
        <w:rPr>
          <w:rFonts w:ascii="仿宋_GB2312" w:hAnsi="仿宋" w:eastAsia="仿宋_GB2312"/>
          <w:color w:val="000000"/>
          <w:sz w:val="34"/>
          <w:szCs w:val="34"/>
        </w:rPr>
        <w:t>100%</w:t>
      </w:r>
      <w:r>
        <w:rPr>
          <w:rFonts w:hint="eastAsia" w:ascii="仿宋_GB2312" w:hAnsi="仿宋" w:eastAsia="仿宋_GB2312"/>
          <w:color w:val="000000"/>
          <w:sz w:val="34"/>
          <w:szCs w:val="34"/>
        </w:rPr>
        <w:t>≤期末存贷比＜</w:t>
      </w:r>
      <w:r>
        <w:rPr>
          <w:rFonts w:ascii="仿宋_GB2312" w:hAnsi="仿宋" w:eastAsia="仿宋_GB2312"/>
          <w:color w:val="000000"/>
          <w:sz w:val="34"/>
          <w:szCs w:val="34"/>
        </w:rPr>
        <w:t>200%</w:t>
      </w:r>
      <w:r>
        <w:rPr>
          <w:rFonts w:hint="eastAsia" w:ascii="仿宋_GB2312" w:hAnsi="仿宋" w:eastAsia="仿宋_GB2312"/>
          <w:color w:val="000000"/>
          <w:sz w:val="34"/>
          <w:szCs w:val="34"/>
        </w:rPr>
        <w:t>，得</w:t>
      </w:r>
      <w:r>
        <w:rPr>
          <w:rFonts w:ascii="仿宋_GB2312" w:hAnsi="仿宋" w:eastAsia="仿宋_GB2312"/>
          <w:color w:val="000000"/>
          <w:sz w:val="34"/>
          <w:szCs w:val="34"/>
        </w:rPr>
        <w:t>2</w:t>
      </w:r>
      <w:r>
        <w:rPr>
          <w:rFonts w:hint="eastAsia" w:ascii="仿宋_GB2312" w:hAnsi="仿宋" w:eastAsia="仿宋_GB2312"/>
          <w:color w:val="000000"/>
          <w:sz w:val="34"/>
          <w:szCs w:val="34"/>
        </w:rPr>
        <w:t>0分；期末存贷比≥</w:t>
      </w:r>
      <w:r>
        <w:rPr>
          <w:rFonts w:ascii="仿宋_GB2312" w:hAnsi="仿宋" w:eastAsia="仿宋_GB2312"/>
          <w:color w:val="000000"/>
          <w:sz w:val="34"/>
          <w:szCs w:val="34"/>
        </w:rPr>
        <w:t>200%</w:t>
      </w:r>
      <w:r>
        <w:rPr>
          <w:rFonts w:hint="eastAsia" w:ascii="仿宋_GB2312" w:hAnsi="仿宋" w:eastAsia="仿宋_GB2312"/>
          <w:color w:val="000000"/>
          <w:sz w:val="34"/>
          <w:szCs w:val="34"/>
        </w:rPr>
        <w:t>，得25分。</w:t>
      </w:r>
    </w:p>
    <w:p>
      <w:pPr>
        <w:pStyle w:val="10"/>
        <w:widowControl w:val="0"/>
        <w:autoSpaceDN w:val="0"/>
        <w:adjustRightInd w:val="0"/>
        <w:snapToGrid w:val="0"/>
        <w:spacing w:line="560" w:lineRule="exact"/>
        <w:ind w:firstLine="680" w:firstLineChars="200"/>
        <w:rPr>
          <w:rFonts w:ascii="仿宋_GB2312" w:hAnsi="仿宋" w:eastAsia="仿宋_GB2312"/>
          <w:bCs/>
          <w:color w:val="000000"/>
          <w:sz w:val="34"/>
          <w:szCs w:val="34"/>
        </w:rPr>
      </w:pPr>
      <w:r>
        <w:rPr>
          <w:rFonts w:hint="eastAsia" w:ascii="仿宋_GB2312" w:hAnsi="仿宋" w:eastAsia="仿宋_GB2312"/>
          <w:bCs/>
          <w:color w:val="000000"/>
          <w:sz w:val="34"/>
          <w:szCs w:val="34"/>
        </w:rPr>
        <w:t>三是与天长融资性担保机构合作情况（</w:t>
      </w:r>
      <w:r>
        <w:rPr>
          <w:rFonts w:ascii="仿宋_GB2312" w:hAnsi="仿宋" w:eastAsia="仿宋_GB2312"/>
          <w:bCs/>
          <w:color w:val="000000"/>
          <w:sz w:val="34"/>
          <w:szCs w:val="34"/>
        </w:rPr>
        <w:t>1</w:t>
      </w:r>
      <w:r>
        <w:rPr>
          <w:rFonts w:hint="eastAsia" w:ascii="仿宋_GB2312" w:hAnsi="仿宋" w:eastAsia="仿宋_GB2312"/>
          <w:bCs/>
          <w:color w:val="000000"/>
          <w:sz w:val="34"/>
          <w:szCs w:val="34"/>
        </w:rPr>
        <w:t>5分）</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①“</w:t>
      </w:r>
      <w:r>
        <w:rPr>
          <w:rFonts w:ascii="仿宋_GB2312" w:hAnsi="仿宋" w:eastAsia="仿宋_GB2312"/>
          <w:color w:val="000000"/>
          <w:sz w:val="34"/>
          <w:szCs w:val="34"/>
        </w:rPr>
        <w:t>4321</w:t>
      </w:r>
      <w:r>
        <w:rPr>
          <w:rFonts w:hint="eastAsia" w:ascii="仿宋_GB2312" w:hAnsi="仿宋" w:eastAsia="仿宋_GB2312"/>
          <w:color w:val="000000"/>
          <w:sz w:val="34"/>
          <w:szCs w:val="34"/>
        </w:rPr>
        <w:t>”政银担模式贷款（5分）：每发生1000万元业务得1分，按比例得分，最高得5分。</w:t>
      </w:r>
    </w:p>
    <w:p>
      <w:pPr>
        <w:pStyle w:val="10"/>
        <w:widowControl w:val="0"/>
        <w:autoSpaceDN w:val="0"/>
        <w:adjustRightInd w:val="0"/>
        <w:snapToGrid w:val="0"/>
        <w:spacing w:line="560" w:lineRule="exact"/>
        <w:ind w:firstLine="664" w:firstLineChars="200"/>
        <w:rPr>
          <w:rFonts w:ascii="仿宋_GB2312" w:hAnsi="仿宋" w:eastAsia="仿宋_GB2312"/>
          <w:color w:val="000000"/>
          <w:spacing w:val="-4"/>
          <w:sz w:val="34"/>
          <w:szCs w:val="34"/>
        </w:rPr>
      </w:pPr>
      <w:r>
        <w:rPr>
          <w:rFonts w:hint="eastAsia" w:ascii="仿宋_GB2312" w:hAnsi="仿宋" w:eastAsia="仿宋_GB2312"/>
          <w:color w:val="000000"/>
          <w:spacing w:val="-4"/>
          <w:sz w:val="34"/>
          <w:szCs w:val="34"/>
        </w:rPr>
        <w:t>②</w:t>
      </w:r>
      <w:r>
        <w:rPr>
          <w:rFonts w:hint="eastAsia" w:ascii="仿宋_GB2312" w:hAnsi="仿宋" w:eastAsia="仿宋_GB2312"/>
          <w:color w:val="000000"/>
          <w:sz w:val="34"/>
          <w:szCs w:val="34"/>
        </w:rPr>
        <w:t>“税融通”贷款（5分）：每发生1000万元业务得1分，按比例得分，最高得5分。</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③</w:t>
      </w:r>
      <w:r>
        <w:rPr>
          <w:rFonts w:hint="eastAsia" w:ascii="仿宋_GB2312" w:hAnsi="仿宋" w:eastAsia="仿宋_GB2312"/>
          <w:color w:val="000000"/>
          <w:spacing w:val="-4"/>
          <w:sz w:val="34"/>
          <w:szCs w:val="34"/>
        </w:rPr>
        <w:t>续贷过桥业务（5分）：每发生1000万元业务得1分，</w:t>
      </w:r>
      <w:r>
        <w:rPr>
          <w:rFonts w:hint="eastAsia" w:ascii="仿宋_GB2312" w:hAnsi="仿宋" w:eastAsia="仿宋_GB2312"/>
          <w:color w:val="000000"/>
          <w:sz w:val="34"/>
          <w:szCs w:val="34"/>
        </w:rPr>
        <w:t>按比例得分，</w:t>
      </w:r>
      <w:r>
        <w:rPr>
          <w:rFonts w:hint="eastAsia" w:ascii="仿宋_GB2312" w:hAnsi="仿宋" w:eastAsia="仿宋_GB2312"/>
          <w:color w:val="000000"/>
          <w:spacing w:val="-4"/>
          <w:sz w:val="34"/>
          <w:szCs w:val="34"/>
        </w:rPr>
        <w:t>最高得5分。每发生一笔过桥资金逾期超过一个月未归还的扣</w:t>
      </w:r>
      <w:r>
        <w:rPr>
          <w:rFonts w:ascii="仿宋_GB2312" w:hAnsi="仿宋" w:eastAsia="仿宋_GB2312"/>
          <w:color w:val="000000"/>
          <w:spacing w:val="-4"/>
          <w:sz w:val="34"/>
          <w:szCs w:val="34"/>
        </w:rPr>
        <w:t>1</w:t>
      </w:r>
      <w:r>
        <w:rPr>
          <w:rFonts w:hint="eastAsia" w:ascii="仿宋_GB2312" w:hAnsi="仿宋" w:eastAsia="仿宋_GB2312"/>
          <w:color w:val="000000"/>
          <w:spacing w:val="-4"/>
          <w:sz w:val="34"/>
          <w:szCs w:val="34"/>
        </w:rPr>
        <w:t>分，逾期超过半年的直接扣5分</w:t>
      </w:r>
      <w:r>
        <w:rPr>
          <w:rFonts w:hint="eastAsia" w:ascii="仿宋_GB2312" w:hAnsi="仿宋" w:eastAsia="仿宋_GB2312"/>
          <w:color w:val="000000"/>
          <w:sz w:val="34"/>
          <w:szCs w:val="34"/>
        </w:rPr>
        <w:t>。</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四是附加指标（20分）</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①不良贷款核销（10分）：经人行认定核销的不良贷款，每核销2000万元不良贷款得1分，按比例得分，最高得10分。</w:t>
      </w:r>
    </w:p>
    <w:p>
      <w:pPr>
        <w:pStyle w:val="10"/>
        <w:widowControl w:val="0"/>
        <w:autoSpaceDN w:val="0"/>
        <w:adjustRightInd w:val="0"/>
        <w:snapToGrid w:val="0"/>
        <w:spacing w:line="560" w:lineRule="exact"/>
        <w:ind w:firstLine="664" w:firstLineChars="200"/>
        <w:rPr>
          <w:rFonts w:ascii="仿宋_GB2312" w:hAnsi="仿宋" w:eastAsia="仿宋_GB2312"/>
          <w:color w:val="000000"/>
          <w:spacing w:val="-4"/>
          <w:sz w:val="34"/>
          <w:szCs w:val="34"/>
        </w:rPr>
      </w:pPr>
      <w:r>
        <w:rPr>
          <w:rFonts w:hint="eastAsia" w:ascii="仿宋_GB2312" w:hAnsi="仿宋" w:eastAsia="仿宋_GB2312"/>
          <w:color w:val="000000"/>
          <w:spacing w:val="-4"/>
          <w:sz w:val="34"/>
          <w:szCs w:val="34"/>
        </w:rPr>
        <w:t>②表外融资（10分）：</w:t>
      </w:r>
      <w:r>
        <w:rPr>
          <w:rFonts w:hint="eastAsia" w:ascii="仿宋_GB2312" w:hAnsi="仿宋" w:eastAsia="仿宋_GB2312"/>
          <w:color w:val="000000"/>
          <w:sz w:val="34"/>
          <w:szCs w:val="34"/>
        </w:rPr>
        <w:t>经人行认定投放的表外融资，</w:t>
      </w:r>
      <w:r>
        <w:rPr>
          <w:rFonts w:hint="eastAsia" w:ascii="仿宋_GB2312" w:hAnsi="仿宋" w:eastAsia="仿宋_GB2312"/>
          <w:color w:val="000000"/>
          <w:spacing w:val="-4"/>
          <w:sz w:val="34"/>
          <w:szCs w:val="34"/>
        </w:rPr>
        <w:t>每投放2000万元得1分，按比例得分，最高得10分。</w:t>
      </w:r>
    </w:p>
    <w:p>
      <w:pPr>
        <w:pStyle w:val="10"/>
        <w:widowControl w:val="0"/>
        <w:autoSpaceDN w:val="0"/>
        <w:adjustRightInd w:val="0"/>
        <w:snapToGrid w:val="0"/>
        <w:spacing w:line="56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w:t>
      </w:r>
      <w:r>
        <w:rPr>
          <w:rFonts w:ascii="仿宋_GB2312" w:hAnsi="仿宋" w:eastAsia="仿宋_GB2312"/>
          <w:b/>
          <w:color w:val="000000"/>
          <w:sz w:val="34"/>
          <w:szCs w:val="34"/>
        </w:rPr>
        <w:t>2</w:t>
      </w:r>
      <w:r>
        <w:rPr>
          <w:rFonts w:hint="eastAsia" w:ascii="仿宋_GB2312" w:hAnsi="仿宋" w:eastAsia="仿宋_GB2312"/>
          <w:b/>
          <w:color w:val="000000"/>
          <w:sz w:val="34"/>
          <w:szCs w:val="34"/>
        </w:rPr>
        <w:t>）考核完成时间</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季度考核在每季度末后次月内完成。</w:t>
      </w:r>
    </w:p>
    <w:p>
      <w:pPr>
        <w:pStyle w:val="10"/>
        <w:widowControl w:val="0"/>
        <w:autoSpaceDN w:val="0"/>
        <w:adjustRightInd w:val="0"/>
        <w:snapToGrid w:val="0"/>
        <w:spacing w:line="56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w:t>
      </w:r>
      <w:r>
        <w:rPr>
          <w:rFonts w:ascii="仿宋_GB2312" w:hAnsi="仿宋" w:eastAsia="仿宋_GB2312"/>
          <w:b/>
          <w:color w:val="000000"/>
          <w:sz w:val="34"/>
          <w:szCs w:val="34"/>
        </w:rPr>
        <w:t>3</w:t>
      </w:r>
      <w:r>
        <w:rPr>
          <w:rFonts w:hint="eastAsia" w:ascii="仿宋_GB2312" w:hAnsi="仿宋" w:eastAsia="仿宋_GB2312"/>
          <w:b/>
          <w:color w:val="000000"/>
          <w:sz w:val="34"/>
          <w:szCs w:val="34"/>
        </w:rPr>
        <w:t>）考核结果运用</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季度考核结束的次月进行财政性存款调度，核算各银行业金融机构考核分数并排序，调度后二位财政性存款到前二位，后二位机构财政性存款调度额度分别为3000万元、2</w:t>
      </w:r>
      <w:r>
        <w:rPr>
          <w:rFonts w:ascii="仿宋_GB2312" w:hAnsi="仿宋" w:eastAsia="仿宋_GB2312"/>
          <w:color w:val="000000"/>
          <w:sz w:val="34"/>
          <w:szCs w:val="34"/>
        </w:rPr>
        <w:t>000</w:t>
      </w:r>
      <w:r>
        <w:rPr>
          <w:rFonts w:hint="eastAsia" w:ascii="仿宋_GB2312" w:hAnsi="仿宋" w:eastAsia="仿宋_GB2312"/>
          <w:color w:val="000000"/>
          <w:sz w:val="34"/>
          <w:szCs w:val="34"/>
        </w:rPr>
        <w:t>万元；财政性存款不足的，调度额度按实有财政性存款</w:t>
      </w:r>
      <w:r>
        <w:rPr>
          <w:rFonts w:ascii="仿宋_GB2312" w:hAnsi="仿宋" w:eastAsia="仿宋_GB2312"/>
          <w:color w:val="000000"/>
          <w:sz w:val="34"/>
          <w:szCs w:val="34"/>
        </w:rPr>
        <w:t>50%</w:t>
      </w:r>
      <w:r>
        <w:rPr>
          <w:rFonts w:hint="eastAsia" w:ascii="仿宋_GB2312" w:hAnsi="仿宋" w:eastAsia="仿宋_GB2312"/>
          <w:color w:val="000000"/>
          <w:sz w:val="34"/>
          <w:szCs w:val="34"/>
        </w:rPr>
        <w:t>计算。</w:t>
      </w:r>
    </w:p>
    <w:p>
      <w:pPr>
        <w:pStyle w:val="10"/>
        <w:widowControl w:val="0"/>
        <w:autoSpaceDN w:val="0"/>
        <w:adjustRightInd w:val="0"/>
        <w:snapToGrid w:val="0"/>
        <w:spacing w:line="600" w:lineRule="exact"/>
        <w:ind w:firstLine="683" w:firstLineChars="200"/>
        <w:rPr>
          <w:rFonts w:ascii="仿宋_GB2312" w:hAnsi="仿宋" w:eastAsia="仿宋_GB2312"/>
          <w:color w:val="000000"/>
          <w:sz w:val="34"/>
          <w:szCs w:val="34"/>
        </w:rPr>
      </w:pPr>
      <w:r>
        <w:rPr>
          <w:rFonts w:ascii="仿宋_GB2312" w:hAnsi="仿宋" w:eastAsia="仿宋_GB2312"/>
          <w:b/>
          <w:color w:val="000000"/>
          <w:sz w:val="34"/>
          <w:szCs w:val="34"/>
        </w:rPr>
        <w:t>2</w:t>
      </w:r>
      <w:r>
        <w:rPr>
          <w:rFonts w:hint="eastAsia" w:ascii="仿宋_GB2312" w:hAnsi="仿宋" w:eastAsia="仿宋_GB2312"/>
          <w:b/>
          <w:color w:val="000000"/>
          <w:sz w:val="34"/>
          <w:szCs w:val="34"/>
        </w:rPr>
        <w:t>.年度考核</w:t>
      </w:r>
    </w:p>
    <w:p>
      <w:pPr>
        <w:pStyle w:val="10"/>
        <w:widowControl w:val="0"/>
        <w:autoSpaceDN w:val="0"/>
        <w:adjustRightInd w:val="0"/>
        <w:snapToGrid w:val="0"/>
        <w:spacing w:line="60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w:t>
      </w:r>
      <w:r>
        <w:rPr>
          <w:rFonts w:ascii="仿宋_GB2312" w:hAnsi="仿宋" w:eastAsia="仿宋_GB2312"/>
          <w:b/>
          <w:color w:val="000000"/>
          <w:sz w:val="34"/>
          <w:szCs w:val="34"/>
        </w:rPr>
        <w:t>1</w:t>
      </w:r>
      <w:r>
        <w:rPr>
          <w:rFonts w:hint="eastAsia" w:ascii="仿宋_GB2312" w:hAnsi="仿宋" w:eastAsia="仿宋_GB2312"/>
          <w:b/>
          <w:color w:val="000000"/>
          <w:sz w:val="34"/>
          <w:szCs w:val="34"/>
        </w:rPr>
        <w:t>）考核指标</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按照第四季度考核实际分值计算得分。</w:t>
      </w:r>
    </w:p>
    <w:p>
      <w:pPr>
        <w:pStyle w:val="10"/>
        <w:widowControl w:val="0"/>
        <w:autoSpaceDN w:val="0"/>
        <w:adjustRightInd w:val="0"/>
        <w:snapToGrid w:val="0"/>
        <w:spacing w:line="60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w:t>
      </w:r>
      <w:r>
        <w:rPr>
          <w:rFonts w:ascii="仿宋_GB2312" w:hAnsi="仿宋" w:eastAsia="仿宋_GB2312"/>
          <w:b/>
          <w:color w:val="000000"/>
          <w:sz w:val="34"/>
          <w:szCs w:val="34"/>
        </w:rPr>
        <w:t>2</w:t>
      </w:r>
      <w:r>
        <w:rPr>
          <w:rFonts w:hint="eastAsia" w:ascii="仿宋_GB2312" w:hAnsi="仿宋" w:eastAsia="仿宋_GB2312"/>
          <w:b/>
          <w:color w:val="000000"/>
          <w:sz w:val="34"/>
          <w:szCs w:val="34"/>
        </w:rPr>
        <w:t>）考核完成时间</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年度考核于次年元月份完成。</w:t>
      </w:r>
    </w:p>
    <w:p>
      <w:pPr>
        <w:pStyle w:val="10"/>
        <w:widowControl w:val="0"/>
        <w:autoSpaceDN w:val="0"/>
        <w:adjustRightInd w:val="0"/>
        <w:snapToGrid w:val="0"/>
        <w:spacing w:line="60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w:t>
      </w:r>
      <w:r>
        <w:rPr>
          <w:rFonts w:ascii="仿宋_GB2312" w:hAnsi="仿宋" w:eastAsia="仿宋_GB2312"/>
          <w:b/>
          <w:color w:val="000000"/>
          <w:sz w:val="34"/>
          <w:szCs w:val="34"/>
        </w:rPr>
        <w:t>3</w:t>
      </w:r>
      <w:r>
        <w:rPr>
          <w:rFonts w:hint="eastAsia" w:ascii="仿宋_GB2312" w:hAnsi="仿宋" w:eastAsia="仿宋_GB2312"/>
          <w:b/>
          <w:color w:val="000000"/>
          <w:sz w:val="34"/>
          <w:szCs w:val="34"/>
        </w:rPr>
        <w:t>）考核结果运用</w:t>
      </w:r>
    </w:p>
    <w:p>
      <w:pPr>
        <w:pStyle w:val="10"/>
        <w:widowControl w:val="0"/>
        <w:autoSpaceDN w:val="0"/>
        <w:adjustRightInd w:val="0"/>
        <w:snapToGrid w:val="0"/>
        <w:spacing w:line="600" w:lineRule="exact"/>
        <w:ind w:firstLine="683" w:firstLineChars="200"/>
        <w:rPr>
          <w:rFonts w:ascii="仿宋_GB2312" w:hAnsi="仿宋" w:eastAsia="仿宋_GB2312"/>
          <w:b/>
          <w:color w:val="000000"/>
          <w:sz w:val="34"/>
          <w:szCs w:val="34"/>
        </w:rPr>
      </w:pPr>
      <w:r>
        <w:rPr>
          <w:rFonts w:hint="eastAsia" w:ascii="仿宋_GB2312" w:hAnsi="仿宋" w:eastAsia="仿宋_GB2312"/>
          <w:b/>
          <w:color w:val="000000"/>
          <w:sz w:val="34"/>
          <w:szCs w:val="34"/>
        </w:rPr>
        <w:t>一是政府性存款调整</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年度考核结束的次月进行财政性存款调度，核算各银行业金融机构考核分数并排序，调度后二位财政性存款到前二位，后二位机构财政性存款调度额度分别为5000万元、3</w:t>
      </w:r>
      <w:r>
        <w:rPr>
          <w:rFonts w:ascii="仿宋_GB2312" w:hAnsi="仿宋" w:eastAsia="仿宋_GB2312"/>
          <w:color w:val="000000"/>
          <w:sz w:val="34"/>
          <w:szCs w:val="34"/>
        </w:rPr>
        <w:t>000</w:t>
      </w:r>
      <w:r>
        <w:rPr>
          <w:rFonts w:hint="eastAsia" w:ascii="仿宋_GB2312" w:hAnsi="仿宋" w:eastAsia="仿宋_GB2312"/>
          <w:color w:val="000000"/>
          <w:sz w:val="34"/>
          <w:szCs w:val="34"/>
        </w:rPr>
        <w:t>万元；财政性存款不足的，调度额度按实有财政性存款</w:t>
      </w:r>
      <w:r>
        <w:rPr>
          <w:rFonts w:ascii="仿宋_GB2312" w:hAnsi="仿宋" w:eastAsia="仿宋_GB2312"/>
          <w:color w:val="000000"/>
          <w:sz w:val="34"/>
          <w:szCs w:val="34"/>
        </w:rPr>
        <w:t>50%</w:t>
      </w:r>
      <w:r>
        <w:rPr>
          <w:rFonts w:hint="eastAsia" w:ascii="仿宋_GB2312" w:hAnsi="仿宋" w:eastAsia="仿宋_GB2312"/>
          <w:color w:val="000000"/>
          <w:sz w:val="34"/>
          <w:szCs w:val="34"/>
        </w:rPr>
        <w:t>计算。</w:t>
      </w:r>
    </w:p>
    <w:p>
      <w:pPr>
        <w:pStyle w:val="10"/>
        <w:widowControl w:val="0"/>
        <w:autoSpaceDN w:val="0"/>
        <w:adjustRightInd w:val="0"/>
        <w:snapToGrid w:val="0"/>
        <w:spacing w:line="600" w:lineRule="exact"/>
        <w:ind w:firstLine="683" w:firstLineChars="200"/>
        <w:rPr>
          <w:rFonts w:ascii="仿宋_GB2312" w:hAnsi="仿宋" w:eastAsia="仿宋_GB2312"/>
          <w:color w:val="000000"/>
          <w:sz w:val="34"/>
          <w:szCs w:val="34"/>
        </w:rPr>
      </w:pPr>
      <w:r>
        <w:rPr>
          <w:rFonts w:hint="eastAsia" w:ascii="仿宋_GB2312" w:hAnsi="仿宋" w:eastAsia="仿宋_GB2312"/>
          <w:b/>
          <w:color w:val="000000"/>
          <w:sz w:val="34"/>
          <w:szCs w:val="34"/>
        </w:rPr>
        <w:t>二是考核奖励</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按照年度考核得分从高到低依次排名，设一等奖一名，奖励30万元；二等奖二名，各奖励20万元；三等奖三名，各奖励10万元。</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①年度信贷增量未达到市下达的计划任务数的，扣除总奖励金额的</w:t>
      </w:r>
      <w:r>
        <w:rPr>
          <w:rFonts w:ascii="仿宋_GB2312" w:hAnsi="仿宋" w:eastAsia="仿宋_GB2312"/>
          <w:color w:val="000000"/>
          <w:sz w:val="34"/>
          <w:szCs w:val="34"/>
        </w:rPr>
        <w:t>20%</w:t>
      </w:r>
      <w:r>
        <w:rPr>
          <w:rFonts w:hint="eastAsia" w:ascii="仿宋_GB2312" w:hAnsi="仿宋" w:eastAsia="仿宋_GB2312"/>
          <w:color w:val="000000"/>
          <w:sz w:val="34"/>
          <w:szCs w:val="34"/>
        </w:rPr>
        <w:t>；</w:t>
      </w:r>
    </w:p>
    <w:p>
      <w:pPr>
        <w:pStyle w:val="10"/>
        <w:widowControl w:val="0"/>
        <w:autoSpaceDN w:val="0"/>
        <w:adjustRightInd w:val="0"/>
        <w:snapToGrid w:val="0"/>
        <w:spacing w:line="600" w:lineRule="exact"/>
        <w:ind w:firstLine="680" w:firstLineChars="200"/>
        <w:rPr>
          <w:rFonts w:ascii="仿宋_GB2312" w:hAnsi="仿宋" w:eastAsia="仿宋_GB2312"/>
          <w:color w:val="000000"/>
          <w:sz w:val="34"/>
          <w:szCs w:val="34"/>
        </w:rPr>
      </w:pPr>
      <w:r>
        <w:rPr>
          <w:rFonts w:hint="eastAsia" w:ascii="仿宋_GB2312" w:hAnsi="仿宋_GB2312" w:eastAsia="仿宋_GB2312" w:cs="仿宋_GB2312"/>
          <w:color w:val="000000"/>
          <w:sz w:val="34"/>
          <w:szCs w:val="34"/>
        </w:rPr>
        <w:t>②</w:t>
      </w:r>
      <w:r>
        <w:rPr>
          <w:rFonts w:hint="eastAsia" w:ascii="仿宋_GB2312" w:hAnsi="仿宋" w:eastAsia="仿宋_GB2312"/>
          <w:color w:val="000000"/>
          <w:sz w:val="34"/>
          <w:szCs w:val="34"/>
        </w:rPr>
        <w:t>季度考核出现三次排名末位的，扣除总奖励金额的</w:t>
      </w:r>
      <w:r>
        <w:rPr>
          <w:rFonts w:ascii="仿宋_GB2312" w:hAnsi="仿宋" w:eastAsia="仿宋_GB2312"/>
          <w:color w:val="000000"/>
          <w:sz w:val="34"/>
          <w:szCs w:val="34"/>
        </w:rPr>
        <w:t>20%</w:t>
      </w:r>
      <w:r>
        <w:rPr>
          <w:rFonts w:hint="eastAsia" w:ascii="仿宋_GB2312" w:hAnsi="仿宋" w:eastAsia="仿宋_GB2312"/>
          <w:color w:val="000000"/>
          <w:sz w:val="34"/>
          <w:szCs w:val="34"/>
        </w:rPr>
        <w:t>。</w:t>
      </w:r>
    </w:p>
    <w:p>
      <w:pPr>
        <w:pStyle w:val="10"/>
        <w:widowControl w:val="0"/>
        <w:autoSpaceDN w:val="0"/>
        <w:adjustRightInd w:val="0"/>
        <w:snapToGrid w:val="0"/>
        <w:spacing w:line="560" w:lineRule="exact"/>
        <w:ind w:firstLine="681" w:firstLineChars="200"/>
        <w:rPr>
          <w:rFonts w:ascii="华文楷体" w:hAnsi="华文楷体" w:eastAsia="华文楷体"/>
          <w:b/>
          <w:color w:val="000000"/>
          <w:sz w:val="34"/>
          <w:szCs w:val="34"/>
        </w:rPr>
      </w:pPr>
      <w:r>
        <w:rPr>
          <w:rFonts w:hint="eastAsia" w:ascii="华文楷体" w:hAnsi="华文楷体" w:eastAsia="华文楷体"/>
          <w:b/>
          <w:color w:val="000000"/>
          <w:sz w:val="34"/>
          <w:szCs w:val="34"/>
        </w:rPr>
        <w:t>（二）对人行</w:t>
      </w:r>
      <w:r>
        <w:rPr>
          <w:rFonts w:hint="eastAsia" w:ascii="华文楷体" w:hAnsi="华文楷体" w:eastAsia="华文楷体"/>
          <w:b/>
          <w:color w:val="000000"/>
          <w:sz w:val="34"/>
          <w:szCs w:val="34"/>
          <w:lang w:val="en-US" w:eastAsia="zh-CN"/>
        </w:rPr>
        <w:t>和</w:t>
      </w:r>
      <w:r>
        <w:rPr>
          <w:rFonts w:hint="eastAsia" w:ascii="华文楷体" w:hAnsi="华文楷体" w:eastAsia="华文楷体"/>
          <w:b/>
          <w:color w:val="000000"/>
          <w:sz w:val="34"/>
          <w:szCs w:val="34"/>
        </w:rPr>
        <w:t>银保监组的考核：</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highlight w:val="none"/>
        </w:rPr>
      </w:pPr>
      <w:r>
        <w:rPr>
          <w:rFonts w:hint="eastAsia" w:ascii="仿宋_GB2312" w:hAnsi="仿宋" w:eastAsia="仿宋_GB2312"/>
          <w:color w:val="000000"/>
          <w:sz w:val="34"/>
          <w:szCs w:val="34"/>
          <w:highlight w:val="none"/>
        </w:rPr>
        <w:t>1.本年度我市银行业金融机构完成新增贷款任务或在滁州市金融工作考核中位居</w:t>
      </w:r>
      <w:r>
        <w:rPr>
          <w:rFonts w:hint="eastAsia" w:ascii="仿宋_GB2312" w:hAnsi="仿宋" w:eastAsia="仿宋_GB2312"/>
          <w:color w:val="000000"/>
          <w:sz w:val="34"/>
          <w:szCs w:val="34"/>
          <w:highlight w:val="none"/>
          <w:lang w:val="en-US" w:eastAsia="zh-CN"/>
        </w:rPr>
        <w:t>第一</w:t>
      </w:r>
      <w:r>
        <w:rPr>
          <w:rFonts w:hint="eastAsia" w:ascii="仿宋_GB2312" w:hAnsi="仿宋" w:eastAsia="仿宋_GB2312"/>
          <w:color w:val="000000"/>
          <w:sz w:val="34"/>
          <w:szCs w:val="34"/>
          <w:highlight w:val="none"/>
        </w:rPr>
        <w:t>名（不含滁州市本级），年度内银行业金融机构无重大金融风险，则人行</w:t>
      </w:r>
      <w:r>
        <w:rPr>
          <w:rFonts w:hint="eastAsia" w:ascii="仿宋_GB2312" w:hAnsi="仿宋" w:eastAsia="仿宋_GB2312"/>
          <w:color w:val="000000"/>
          <w:sz w:val="34"/>
          <w:szCs w:val="34"/>
          <w:highlight w:val="none"/>
          <w:lang w:val="en-US" w:eastAsia="zh-CN"/>
        </w:rPr>
        <w:t>和</w:t>
      </w:r>
      <w:r>
        <w:rPr>
          <w:rFonts w:hint="eastAsia" w:ascii="仿宋_GB2312" w:hAnsi="仿宋" w:eastAsia="仿宋_GB2312"/>
          <w:color w:val="000000"/>
          <w:sz w:val="34"/>
          <w:szCs w:val="34"/>
          <w:highlight w:val="none"/>
        </w:rPr>
        <w:t>银保监组分别奖励10万元。</w:t>
      </w:r>
    </w:p>
    <w:p>
      <w:pPr>
        <w:pStyle w:val="10"/>
        <w:widowControl w:val="0"/>
        <w:autoSpaceDN w:val="0"/>
        <w:adjustRightInd w:val="0"/>
        <w:snapToGrid w:val="0"/>
        <w:spacing w:line="560" w:lineRule="exact"/>
        <w:ind w:firstLine="680" w:firstLineChars="200"/>
        <w:rPr>
          <w:rFonts w:hint="eastAsia" w:ascii="仿宋_GB2312" w:hAnsi="仿宋" w:eastAsia="仿宋_GB2312"/>
          <w:color w:val="000000"/>
          <w:sz w:val="34"/>
          <w:szCs w:val="34"/>
        </w:rPr>
      </w:pPr>
      <w:r>
        <w:rPr>
          <w:rFonts w:hint="eastAsia" w:ascii="仿宋_GB2312" w:hAnsi="仿宋" w:eastAsia="仿宋_GB2312"/>
          <w:color w:val="000000"/>
          <w:sz w:val="34"/>
          <w:szCs w:val="34"/>
          <w:highlight w:val="none"/>
        </w:rPr>
        <w:t>2.本年度未完成</w:t>
      </w:r>
      <w:r>
        <w:rPr>
          <w:rFonts w:hint="eastAsia" w:ascii="仿宋_GB2312" w:hAnsi="仿宋" w:eastAsia="仿宋_GB2312"/>
          <w:color w:val="000000"/>
          <w:sz w:val="34"/>
          <w:szCs w:val="34"/>
          <w:highlight w:val="none"/>
          <w:lang w:val="en-US" w:eastAsia="zh-CN"/>
        </w:rPr>
        <w:t>新增贷款</w:t>
      </w:r>
      <w:r>
        <w:rPr>
          <w:rFonts w:hint="eastAsia" w:ascii="仿宋_GB2312" w:hAnsi="仿宋" w:eastAsia="仿宋_GB2312"/>
          <w:color w:val="000000"/>
          <w:sz w:val="34"/>
          <w:szCs w:val="34"/>
          <w:highlight w:val="none"/>
        </w:rPr>
        <w:t>任务</w:t>
      </w:r>
      <w:r>
        <w:rPr>
          <w:rFonts w:hint="eastAsia" w:ascii="仿宋_GB2312" w:hAnsi="仿宋" w:eastAsia="仿宋_GB2312"/>
          <w:color w:val="000000"/>
          <w:sz w:val="34"/>
          <w:szCs w:val="34"/>
          <w:highlight w:val="none"/>
          <w:lang w:eastAsia="zh-CN"/>
        </w:rPr>
        <w:t>，</w:t>
      </w:r>
      <w:r>
        <w:rPr>
          <w:rFonts w:hint="eastAsia" w:ascii="仿宋_GB2312" w:hAnsi="仿宋" w:eastAsia="仿宋_GB2312"/>
          <w:color w:val="000000"/>
          <w:sz w:val="34"/>
          <w:szCs w:val="34"/>
          <w:highlight w:val="none"/>
          <w:lang w:val="en-US" w:eastAsia="zh-CN"/>
        </w:rPr>
        <w:t>但在滁州市金融工作</w:t>
      </w:r>
      <w:r>
        <w:rPr>
          <w:rFonts w:hint="eastAsia" w:ascii="仿宋_GB2312" w:hAnsi="仿宋" w:eastAsia="仿宋_GB2312"/>
          <w:color w:val="000000"/>
          <w:sz w:val="34"/>
          <w:szCs w:val="34"/>
          <w:highlight w:val="none"/>
        </w:rPr>
        <w:t>考核</w:t>
      </w:r>
      <w:r>
        <w:rPr>
          <w:rFonts w:hint="eastAsia" w:ascii="仿宋_GB2312" w:hAnsi="仿宋" w:eastAsia="仿宋_GB2312"/>
          <w:color w:val="000000"/>
          <w:sz w:val="34"/>
          <w:szCs w:val="34"/>
          <w:highlight w:val="none"/>
          <w:lang w:val="en-US" w:eastAsia="zh-CN"/>
        </w:rPr>
        <w:t>中位居前三名</w:t>
      </w:r>
      <w:r>
        <w:rPr>
          <w:rFonts w:hint="eastAsia" w:ascii="仿宋_GB2312" w:hAnsi="仿宋" w:eastAsia="仿宋_GB2312"/>
          <w:color w:val="000000"/>
          <w:sz w:val="34"/>
          <w:szCs w:val="34"/>
          <w:highlight w:val="none"/>
        </w:rPr>
        <w:t>，日常积极完成市委、市政府安排的金融工作，年度内银行业金融机构无重大金融风险，则人行</w:t>
      </w:r>
      <w:r>
        <w:rPr>
          <w:rFonts w:hint="eastAsia" w:ascii="仿宋_GB2312" w:hAnsi="仿宋" w:eastAsia="仿宋_GB2312"/>
          <w:color w:val="000000"/>
          <w:sz w:val="34"/>
          <w:szCs w:val="34"/>
          <w:highlight w:val="none"/>
          <w:lang w:val="en-US" w:eastAsia="zh-CN"/>
        </w:rPr>
        <w:t>和</w:t>
      </w:r>
      <w:r>
        <w:rPr>
          <w:rFonts w:hint="eastAsia" w:ascii="仿宋_GB2312" w:hAnsi="仿宋" w:eastAsia="仿宋_GB2312"/>
          <w:color w:val="000000"/>
          <w:sz w:val="34"/>
          <w:szCs w:val="34"/>
          <w:highlight w:val="none"/>
        </w:rPr>
        <w:t>银保监组分别奖励6万元。</w:t>
      </w:r>
    </w:p>
    <w:p>
      <w:pPr>
        <w:adjustRightInd w:val="0"/>
        <w:snapToGrid w:val="0"/>
        <w:spacing w:line="560" w:lineRule="exact"/>
        <w:ind w:firstLine="683" w:firstLineChars="200"/>
        <w:rPr>
          <w:rFonts w:ascii="黑体" w:hAnsi="黑体" w:eastAsia="黑体"/>
          <w:b/>
          <w:color w:val="000000"/>
          <w:kern w:val="0"/>
          <w:sz w:val="34"/>
          <w:szCs w:val="34"/>
        </w:rPr>
      </w:pPr>
      <w:r>
        <w:rPr>
          <w:rFonts w:hint="eastAsia" w:ascii="黑体" w:hAnsi="黑体" w:eastAsia="黑体"/>
          <w:b/>
          <w:color w:val="000000"/>
          <w:kern w:val="0"/>
          <w:sz w:val="34"/>
          <w:szCs w:val="34"/>
        </w:rPr>
        <w:t>六、数据来源</w:t>
      </w:r>
    </w:p>
    <w:p>
      <w:pPr>
        <w:adjustRightInd w:val="0"/>
        <w:snapToGrid w:val="0"/>
        <w:spacing w:line="560" w:lineRule="exact"/>
        <w:ind w:firstLine="672" w:firstLineChars="200"/>
        <w:rPr>
          <w:rFonts w:ascii="黑体" w:hAnsi="黑体" w:eastAsia="黑体"/>
          <w:b/>
          <w:color w:val="000000"/>
          <w:kern w:val="0"/>
          <w:sz w:val="34"/>
          <w:szCs w:val="34"/>
        </w:rPr>
      </w:pPr>
      <w:r>
        <w:rPr>
          <w:rFonts w:hint="eastAsia" w:ascii="仿宋_GB2312" w:hAnsi="仿宋" w:eastAsia="仿宋_GB2312"/>
          <w:color w:val="000000"/>
          <w:spacing w:val="-2"/>
          <w:sz w:val="34"/>
          <w:szCs w:val="34"/>
        </w:rPr>
        <w:t>考核数据主要以中国人民银行金融统计监测管理信息系统和有关部门提供的相关数据为依据，</w:t>
      </w:r>
      <w:r>
        <w:rPr>
          <w:rFonts w:hint="eastAsia" w:ascii="仿宋_GB2312" w:hAnsi="仿宋" w:eastAsia="仿宋_GB2312"/>
          <w:color w:val="000000"/>
          <w:sz w:val="34"/>
          <w:szCs w:val="34"/>
        </w:rPr>
        <w:t>由中国人民银行天长市支行、市银保监组和市金融监管局等负责采集、核对。</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各相关机构提供的数据要及时、真实、完整，若银行业金融机构在考核中提供虚假信息，将核减该机构现有财政专户存款的</w:t>
      </w:r>
      <w:r>
        <w:rPr>
          <w:rFonts w:ascii="仿宋_GB2312" w:hAnsi="仿宋" w:eastAsia="仿宋_GB2312"/>
          <w:color w:val="000000"/>
          <w:sz w:val="34"/>
          <w:szCs w:val="34"/>
        </w:rPr>
        <w:t>50%</w:t>
      </w:r>
      <w:r>
        <w:rPr>
          <w:rFonts w:hint="eastAsia" w:ascii="仿宋_GB2312" w:hAnsi="仿宋" w:eastAsia="仿宋_GB2312"/>
          <w:color w:val="000000"/>
          <w:sz w:val="34"/>
          <w:szCs w:val="34"/>
        </w:rPr>
        <w:t>，情节严重的，取消考核资格，取消在该机构开设的各类财政专户。</w:t>
      </w:r>
    </w:p>
    <w:p>
      <w:pPr>
        <w:adjustRightInd w:val="0"/>
        <w:snapToGrid w:val="0"/>
        <w:spacing w:line="560" w:lineRule="exact"/>
        <w:ind w:firstLine="683" w:firstLineChars="200"/>
        <w:rPr>
          <w:rFonts w:ascii="黑体" w:hAnsi="黑体" w:eastAsia="黑体"/>
          <w:b/>
          <w:color w:val="000000"/>
          <w:kern w:val="0"/>
          <w:sz w:val="34"/>
          <w:szCs w:val="34"/>
        </w:rPr>
      </w:pPr>
      <w:r>
        <w:rPr>
          <w:rFonts w:hint="eastAsia" w:ascii="黑体" w:hAnsi="黑体" w:eastAsia="黑体"/>
          <w:b/>
          <w:color w:val="000000"/>
          <w:kern w:val="0"/>
          <w:sz w:val="34"/>
          <w:szCs w:val="34"/>
        </w:rPr>
        <w:t>七、奖励实施</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（一）按照年度考核进行奖励，考核兑现在次年一季度内完成。年度考核结束后，由领导小组办公室制定奖励方案，报政府批准后交市财政局实施。</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（二）为便于考核办法贯彻执行，由财政局按偶然所得扣除</w:t>
      </w:r>
      <w:r>
        <w:rPr>
          <w:rFonts w:ascii="仿宋_GB2312" w:hAnsi="仿宋" w:eastAsia="仿宋_GB2312"/>
          <w:color w:val="000000"/>
          <w:sz w:val="34"/>
          <w:szCs w:val="34"/>
        </w:rPr>
        <w:t>20%</w:t>
      </w:r>
      <w:r>
        <w:rPr>
          <w:rFonts w:hint="eastAsia" w:ascii="仿宋_GB2312" w:hAnsi="仿宋" w:eastAsia="仿宋_GB2312"/>
          <w:color w:val="000000"/>
          <w:sz w:val="34"/>
          <w:szCs w:val="34"/>
        </w:rPr>
        <w:t>个人所得税后实施。发放方式由财政局联系被奖励单位确定。</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（三）奖励资金主要用于奖励各单位领导班子成员以及有突出贡献人员，奖励资金由各单位自行分配。</w:t>
      </w:r>
    </w:p>
    <w:p>
      <w:pPr>
        <w:adjustRightInd w:val="0"/>
        <w:snapToGrid w:val="0"/>
        <w:spacing w:line="560" w:lineRule="exact"/>
        <w:ind w:firstLine="683" w:firstLineChars="200"/>
        <w:rPr>
          <w:rFonts w:ascii="黑体" w:hAnsi="黑体" w:eastAsia="黑体"/>
          <w:b/>
          <w:color w:val="000000"/>
          <w:kern w:val="0"/>
          <w:sz w:val="34"/>
          <w:szCs w:val="34"/>
        </w:rPr>
      </w:pPr>
      <w:r>
        <w:rPr>
          <w:rFonts w:hint="eastAsia" w:ascii="黑体" w:hAnsi="黑体" w:eastAsia="黑体"/>
          <w:b/>
          <w:color w:val="000000"/>
          <w:kern w:val="0"/>
          <w:sz w:val="34"/>
          <w:szCs w:val="34"/>
        </w:rPr>
        <w:t>八、有关说明</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（一）本《方案》由领导小组办公室负责解释，并根据国家、省、市有关政策适时调整。</w:t>
      </w:r>
    </w:p>
    <w:p>
      <w:pPr>
        <w:pStyle w:val="10"/>
        <w:widowControl w:val="0"/>
        <w:autoSpaceDN w:val="0"/>
        <w:adjustRightInd w:val="0"/>
        <w:snapToGrid w:val="0"/>
        <w:spacing w:line="560" w:lineRule="exact"/>
        <w:ind w:firstLine="680" w:firstLineChars="200"/>
        <w:rPr>
          <w:rFonts w:ascii="仿宋_GB2312" w:hAnsi="仿宋" w:eastAsia="仿宋_GB2312"/>
          <w:color w:val="000000"/>
          <w:sz w:val="34"/>
          <w:szCs w:val="34"/>
        </w:rPr>
      </w:pPr>
      <w:r>
        <w:rPr>
          <w:rFonts w:hint="eastAsia" w:ascii="仿宋_GB2312" w:hAnsi="仿宋" w:eastAsia="仿宋_GB2312"/>
          <w:color w:val="000000"/>
          <w:sz w:val="34"/>
          <w:szCs w:val="34"/>
        </w:rPr>
        <w:t>（二）本《方案》自文件下发之日起执行，原《办法》同时废止。</w:t>
      </w:r>
    </w:p>
    <w:p>
      <w:pPr>
        <w:adjustRightInd w:val="0"/>
        <w:snapToGrid w:val="0"/>
        <w:spacing w:line="600" w:lineRule="exact"/>
        <w:rPr>
          <w:color w:val="000000"/>
        </w:rPr>
      </w:pPr>
    </w:p>
    <w:p>
      <w:pPr>
        <w:adjustRightInd w:val="0"/>
        <w:snapToGrid w:val="0"/>
        <w:spacing w:line="600" w:lineRule="exact"/>
        <w:ind w:firstLine="4930" w:firstLineChars="1450"/>
        <w:rPr>
          <w:rFonts w:ascii="仿宋_GB2312" w:hAnsi="仿宋" w:eastAsia="仿宋_GB2312"/>
          <w:color w:val="000000"/>
          <w:kern w:val="0"/>
          <w:sz w:val="34"/>
          <w:szCs w:val="34"/>
        </w:rPr>
      </w:pPr>
      <w:bookmarkStart w:id="0" w:name="_GoBack"/>
      <w:bookmarkEnd w:id="0"/>
    </w:p>
    <w:sectPr>
      <w:footerReference r:id="rId3" w:type="default"/>
      <w:footerReference r:id="rId4" w:type="even"/>
      <w:pgSz w:w="11906" w:h="16838"/>
      <w:pgMar w:top="1701" w:right="1588" w:bottom="1701" w:left="1588" w:header="851" w:footer="141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- 7 -</w:t>
    </w:r>
    <w:r>
      <w:rPr>
        <w:rStyle w:val="7"/>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B80"/>
    <w:rsid w:val="00215127"/>
    <w:rsid w:val="00273216"/>
    <w:rsid w:val="002F0B80"/>
    <w:rsid w:val="00362B47"/>
    <w:rsid w:val="005005A4"/>
    <w:rsid w:val="00576BBA"/>
    <w:rsid w:val="005B1C40"/>
    <w:rsid w:val="005D1246"/>
    <w:rsid w:val="00667AA9"/>
    <w:rsid w:val="00686E45"/>
    <w:rsid w:val="00724DAE"/>
    <w:rsid w:val="00771C7A"/>
    <w:rsid w:val="007C3DC2"/>
    <w:rsid w:val="00893CC8"/>
    <w:rsid w:val="009756C8"/>
    <w:rsid w:val="00A74A73"/>
    <w:rsid w:val="00AB5913"/>
    <w:rsid w:val="00AF024F"/>
    <w:rsid w:val="00AF44A4"/>
    <w:rsid w:val="00BA58E3"/>
    <w:rsid w:val="00BE48B0"/>
    <w:rsid w:val="00CC56B0"/>
    <w:rsid w:val="00CE7A3F"/>
    <w:rsid w:val="00D4335C"/>
    <w:rsid w:val="00D8057C"/>
    <w:rsid w:val="00DF51B0"/>
    <w:rsid w:val="00EB58B0"/>
    <w:rsid w:val="00F0273F"/>
    <w:rsid w:val="00F467AA"/>
    <w:rsid w:val="00F773D0"/>
    <w:rsid w:val="025E6EE4"/>
    <w:rsid w:val="1A3D2A37"/>
    <w:rsid w:val="1C3962DF"/>
    <w:rsid w:val="1EBA5244"/>
    <w:rsid w:val="28AD1335"/>
    <w:rsid w:val="3BAD4931"/>
    <w:rsid w:val="3D1A6075"/>
    <w:rsid w:val="3D1D39FA"/>
    <w:rsid w:val="41F16D27"/>
    <w:rsid w:val="438743D7"/>
    <w:rsid w:val="472D1D2A"/>
    <w:rsid w:val="523A3012"/>
    <w:rsid w:val="5448087E"/>
    <w:rsid w:val="54E70F59"/>
    <w:rsid w:val="56A97B44"/>
    <w:rsid w:val="56D80B92"/>
    <w:rsid w:val="59DC2560"/>
    <w:rsid w:val="5AAB1D00"/>
    <w:rsid w:val="65A76612"/>
    <w:rsid w:val="6952355B"/>
    <w:rsid w:val="6D586463"/>
    <w:rsid w:val="6EA52F20"/>
    <w:rsid w:val="777C5A9C"/>
    <w:rsid w:val="77CA0B8F"/>
    <w:rsid w:val="78E05AA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页脚 Char"/>
    <w:basedOn w:val="6"/>
    <w:link w:val="3"/>
    <w:semiHidden/>
    <w:qFormat/>
    <w:locked/>
    <w:uiPriority w:val="99"/>
    <w:rPr>
      <w:rFonts w:cs="Times New Roman"/>
      <w:sz w:val="18"/>
      <w:szCs w:val="18"/>
    </w:rPr>
  </w:style>
  <w:style w:type="character" w:customStyle="1" w:styleId="9">
    <w:name w:val="页眉 Char"/>
    <w:basedOn w:val="6"/>
    <w:link w:val="4"/>
    <w:semiHidden/>
    <w:qFormat/>
    <w:locked/>
    <w:uiPriority w:val="99"/>
    <w:rPr>
      <w:rFonts w:cs="Times New Roman"/>
      <w:sz w:val="18"/>
      <w:szCs w:val="18"/>
    </w:rPr>
  </w:style>
  <w:style w:type="paragraph" w:customStyle="1" w:styleId="10">
    <w:name w:val="p0"/>
    <w:basedOn w:val="1"/>
    <w:qFormat/>
    <w:uiPriority w:val="99"/>
    <w:pPr>
      <w:widowControl/>
    </w:pPr>
    <w:rPr>
      <w:kern w:val="0"/>
      <w:szCs w:val="21"/>
    </w:rPr>
  </w:style>
  <w:style w:type="character" w:customStyle="1" w:styleId="11">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6DF91-1972-4AF2-8593-839D180C615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415</Words>
  <Characters>2367</Characters>
  <Lines>19</Lines>
  <Paragraphs>5</Paragraphs>
  <TotalTime>17</TotalTime>
  <ScaleCrop>false</ScaleCrop>
  <LinksUpToDate>false</LinksUpToDate>
  <CharactersWithSpaces>2777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2019-03-22T01:53:00Z</dcterms:created>
  <dc:creator>微软用户</dc:creator>
  <cp:lastModifiedBy>周颖</cp:lastModifiedBy>
  <cp:lastPrinted>2019-03-28T01:59:00Z</cp:lastPrinted>
  <dcterms:modified xsi:type="dcterms:W3CDTF">2020-05-14T07:57:57Z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